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7C46" w14:textId="77777777" w:rsidR="009A7707" w:rsidRDefault="00F74408">
      <w:pPr>
        <w:pStyle w:val="a4"/>
        <w:spacing w:before="65"/>
        <w:ind w:left="189" w:right="189"/>
        <w:jc w:val="center"/>
      </w:pPr>
      <w:r>
        <w:t>МИНОБРНАУКИ</w:t>
      </w:r>
      <w:r>
        <w:rPr>
          <w:spacing w:val="-17"/>
        </w:rPr>
        <w:t xml:space="preserve"> </w:t>
      </w:r>
      <w:r>
        <w:rPr>
          <w:spacing w:val="-2"/>
        </w:rPr>
        <w:t>РОССИИ</w:t>
      </w:r>
    </w:p>
    <w:p w14:paraId="0CA8EA1E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sz w:val="28"/>
        </w:rPr>
      </w:pPr>
      <w:bookmarkStart w:id="0" w:name="_Hlk233285308"/>
      <w:r w:rsidRPr="009B4049">
        <w:rPr>
          <w:rFonts w:eastAsia="Calibri"/>
          <w:sz w:val="28"/>
        </w:rPr>
        <w:t>МИНОБРНАУКИ РОССИИ</w:t>
      </w:r>
    </w:p>
    <w:p w14:paraId="472A41F0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sz w:val="28"/>
        </w:rPr>
      </w:pPr>
      <w:r w:rsidRPr="009B4049">
        <w:rPr>
          <w:rFonts w:eastAsia="Calibri"/>
          <w:sz w:val="28"/>
        </w:rPr>
        <w:t>Федеральное государственное бюджетное образовательное учреждение</w:t>
      </w:r>
    </w:p>
    <w:p w14:paraId="3B306124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sz w:val="28"/>
        </w:rPr>
      </w:pPr>
      <w:r w:rsidRPr="009B4049">
        <w:rPr>
          <w:rFonts w:eastAsia="Calibri"/>
          <w:sz w:val="28"/>
        </w:rPr>
        <w:t>высшего образования</w:t>
      </w:r>
    </w:p>
    <w:p w14:paraId="4A0B6A75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9B4049">
        <w:rPr>
          <w:rFonts w:eastAsia="Calibri"/>
          <w:b/>
          <w:sz w:val="28"/>
        </w:rPr>
        <w:t>«САРАТОВСКИЙ НАЦИОНАЛЬНЫЙ ИССЛЕДОВАТЕЛЬСКИЙ</w:t>
      </w:r>
    </w:p>
    <w:p w14:paraId="32FFF62D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9B4049">
        <w:rPr>
          <w:rFonts w:eastAsia="Calibri"/>
          <w:b/>
          <w:sz w:val="28"/>
        </w:rPr>
        <w:t xml:space="preserve">ГОСУДАРСТВЕННЫЙ УНИВЕРСИТЕТ </w:t>
      </w:r>
    </w:p>
    <w:p w14:paraId="2093F6DD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9B4049">
        <w:rPr>
          <w:rFonts w:eastAsia="Calibri"/>
          <w:b/>
          <w:sz w:val="28"/>
        </w:rPr>
        <w:t>ИМЕНИ Н.Г. ЧЕРНЫШЕВСКОГО»</w:t>
      </w:r>
    </w:p>
    <w:p w14:paraId="67723FF1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250C0194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58A55C5D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5AD52E34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sz w:val="28"/>
          <w:u w:val="single"/>
        </w:rPr>
      </w:pPr>
      <w:r w:rsidRPr="009B4049">
        <w:rPr>
          <w:rFonts w:eastAsia="Calibri"/>
          <w:sz w:val="28"/>
          <w:u w:val="single"/>
        </w:rPr>
        <w:t>Кафедра экономической и социальной географии</w:t>
      </w:r>
    </w:p>
    <w:p w14:paraId="3F5A799A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0CF7D454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1A9943A7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04C52CCC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1B543A65" w14:textId="77777777" w:rsidR="009B4049" w:rsidRPr="009B4049" w:rsidRDefault="009B4049" w:rsidP="009B4049">
      <w:pPr>
        <w:widowControl/>
        <w:autoSpaceDE/>
        <w:autoSpaceDN/>
        <w:spacing w:line="360" w:lineRule="auto"/>
        <w:jc w:val="center"/>
        <w:rPr>
          <w:rFonts w:eastAsia="SimSun"/>
          <w:b/>
          <w:color w:val="000000"/>
          <w:sz w:val="28"/>
          <w:szCs w:val="28"/>
          <w:shd w:val="clear" w:color="auto" w:fill="FFFFFF"/>
          <w:lang w:eastAsia="ru-RU"/>
        </w:rPr>
      </w:pPr>
      <w:r w:rsidRPr="009B4049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ru-RU"/>
        </w:rPr>
        <w:t>Качество жизни как предпосылка демографического и миграционного поведения населения Саратовской и Тюменской областей</w:t>
      </w:r>
    </w:p>
    <w:p w14:paraId="0950F595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01EA1426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sz w:val="28"/>
        </w:rPr>
      </w:pPr>
      <w:r w:rsidRPr="009B4049">
        <w:rPr>
          <w:rFonts w:eastAsia="Calibri"/>
          <w:color w:val="000000"/>
          <w:sz w:val="28"/>
          <w:szCs w:val="28"/>
        </w:rPr>
        <w:t>АВТОРЕФЕРАТ БАКАЛАВРСКОЙ РАБОТЫ</w:t>
      </w:r>
    </w:p>
    <w:p w14:paraId="0C13A011" w14:textId="77777777" w:rsidR="009B4049" w:rsidRPr="009B4049" w:rsidRDefault="009B4049" w:rsidP="009B4049">
      <w:pPr>
        <w:widowControl/>
        <w:autoSpaceDE/>
        <w:autoSpaceDN/>
        <w:jc w:val="center"/>
        <w:rPr>
          <w:rFonts w:eastAsia="Calibri"/>
          <w:sz w:val="28"/>
        </w:rPr>
      </w:pPr>
    </w:p>
    <w:p w14:paraId="67F070BC" w14:textId="77777777" w:rsidR="009B4049" w:rsidRPr="009B4049" w:rsidRDefault="009B4049" w:rsidP="009B4049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9B4049">
        <w:rPr>
          <w:rFonts w:eastAsia="Calibri"/>
          <w:sz w:val="28"/>
        </w:rPr>
        <w:t xml:space="preserve">студентки </w:t>
      </w:r>
      <w:proofErr w:type="gramStart"/>
      <w:r w:rsidRPr="009B4049">
        <w:rPr>
          <w:rFonts w:eastAsia="Calibri"/>
          <w:sz w:val="28"/>
          <w:u w:val="single"/>
        </w:rPr>
        <w:tab/>
        <w:t xml:space="preserve">  4</w:t>
      </w:r>
      <w:proofErr w:type="gramEnd"/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</w:rPr>
        <w:t xml:space="preserve"> курса </w:t>
      </w:r>
      <w:r w:rsidRPr="009B4049">
        <w:rPr>
          <w:rFonts w:eastAsia="Calibri"/>
          <w:sz w:val="28"/>
          <w:u w:val="single"/>
        </w:rPr>
        <w:tab/>
        <w:t>422</w:t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</w:rPr>
        <w:t xml:space="preserve"> группы</w:t>
      </w:r>
    </w:p>
    <w:p w14:paraId="0E21D4DA" w14:textId="156B0793" w:rsidR="009B4049" w:rsidRPr="009B4049" w:rsidRDefault="009B4049" w:rsidP="009B4049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9B4049">
        <w:rPr>
          <w:rFonts w:eastAsia="Calibri"/>
          <w:sz w:val="28"/>
        </w:rPr>
        <w:t xml:space="preserve">направления </w:t>
      </w:r>
      <w:r w:rsidR="006C37F4"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  <w:t>05.03.02. География</w:t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</w:r>
      <w:r w:rsidRPr="009B4049">
        <w:rPr>
          <w:rFonts w:eastAsia="Calibri"/>
          <w:sz w:val="28"/>
          <w:u w:val="single"/>
        </w:rPr>
        <w:tab/>
      </w:r>
    </w:p>
    <w:p w14:paraId="42EF5D5A" w14:textId="0BB0B70C" w:rsidR="009B4049" w:rsidRPr="009B4049" w:rsidRDefault="006C37F4" w:rsidP="009B4049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  <w:t>географического факультета</w:t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</w:p>
    <w:p w14:paraId="73DD1B56" w14:textId="5C322B37" w:rsidR="009B4049" w:rsidRPr="009B4049" w:rsidRDefault="006C37F4" w:rsidP="009B4049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  <w:t xml:space="preserve">Васильевой </w:t>
      </w:r>
      <w:proofErr w:type="spellStart"/>
      <w:r w:rsidR="009B4049" w:rsidRPr="009B4049">
        <w:rPr>
          <w:rFonts w:eastAsia="Calibri"/>
          <w:sz w:val="28"/>
          <w:u w:val="single"/>
        </w:rPr>
        <w:t>Ульяны</w:t>
      </w:r>
      <w:proofErr w:type="spellEnd"/>
      <w:r w:rsidR="009B4049" w:rsidRPr="009B4049">
        <w:rPr>
          <w:rFonts w:eastAsia="Calibri"/>
          <w:sz w:val="28"/>
          <w:u w:val="single"/>
        </w:rPr>
        <w:t xml:space="preserve"> Александровны</w:t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  <w:r w:rsidR="009B4049" w:rsidRPr="009B4049">
        <w:rPr>
          <w:rFonts w:eastAsia="Calibri"/>
          <w:sz w:val="28"/>
          <w:u w:val="single"/>
        </w:rPr>
        <w:tab/>
      </w:r>
    </w:p>
    <w:p w14:paraId="046EA3B0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238A4AB7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0B6115AA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2688E3AA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6C92C07B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54EF12B6" w14:textId="77777777" w:rsidR="009B4049" w:rsidRPr="009B4049" w:rsidRDefault="009B4049" w:rsidP="009B4049">
      <w:pPr>
        <w:widowControl/>
        <w:autoSpaceDE/>
        <w:autoSpaceDN/>
        <w:spacing w:line="360" w:lineRule="auto"/>
        <w:jc w:val="both"/>
        <w:rPr>
          <w:rFonts w:eastAsia="Calibri"/>
          <w:sz w:val="28"/>
        </w:rPr>
      </w:pPr>
      <w:r w:rsidRPr="009B4049">
        <w:rPr>
          <w:rFonts w:eastAsia="Calibri"/>
          <w:sz w:val="28"/>
        </w:rPr>
        <w:t xml:space="preserve">Научный руководитель </w:t>
      </w:r>
    </w:p>
    <w:tbl>
      <w:tblPr>
        <w:tblW w:w="9498" w:type="dxa"/>
        <w:jc w:val="center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9B4049" w:rsidRPr="009B4049" w14:paraId="15BAB5A7" w14:textId="77777777" w:rsidTr="006C37F4">
        <w:trPr>
          <w:trHeight w:val="303"/>
          <w:jc w:val="center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DBCD6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  <w:r w:rsidRPr="009B4049">
              <w:rPr>
                <w:rFonts w:eastAsia="Calibri"/>
                <w:sz w:val="28"/>
              </w:rPr>
              <w:t xml:space="preserve">доцент, </w:t>
            </w:r>
            <w:proofErr w:type="spellStart"/>
            <w:r w:rsidRPr="009B4049">
              <w:rPr>
                <w:rFonts w:eastAsia="Calibri"/>
                <w:sz w:val="28"/>
              </w:rPr>
              <w:t>к.с.н</w:t>
            </w:r>
            <w:proofErr w:type="spellEnd"/>
            <w:r w:rsidRPr="009B4049">
              <w:rPr>
                <w:rFonts w:eastAsia="Calibri"/>
                <w:sz w:val="28"/>
              </w:rPr>
              <w:t>., доцент</w:t>
            </w:r>
          </w:p>
        </w:tc>
        <w:tc>
          <w:tcPr>
            <w:tcW w:w="281" w:type="dxa"/>
          </w:tcPr>
          <w:p w14:paraId="0E324D17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41BD6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1" w:type="dxa"/>
          </w:tcPr>
          <w:p w14:paraId="106CA83A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7E777D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8"/>
              </w:rPr>
            </w:pPr>
            <w:r w:rsidRPr="009B4049">
              <w:rPr>
                <w:rFonts w:eastAsia="Calibri"/>
                <w:sz w:val="28"/>
              </w:rPr>
              <w:t xml:space="preserve">О.А. </w:t>
            </w:r>
            <w:proofErr w:type="spellStart"/>
            <w:r w:rsidRPr="009B4049">
              <w:rPr>
                <w:rFonts w:eastAsia="Calibri"/>
                <w:sz w:val="28"/>
              </w:rPr>
              <w:t>Цоберг</w:t>
            </w:r>
            <w:proofErr w:type="spellEnd"/>
          </w:p>
        </w:tc>
      </w:tr>
      <w:tr w:rsidR="009B4049" w:rsidRPr="009B4049" w14:paraId="17BEE7BE" w14:textId="77777777" w:rsidTr="006C37F4">
        <w:trPr>
          <w:jc w:val="center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D786D5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9B4049">
              <w:rPr>
                <w:rFonts w:eastAsia="Calibri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055C77F1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7214DE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9B4049">
              <w:rPr>
                <w:rFonts w:eastAsia="Calibri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7E976AF3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EEF879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9B4049">
              <w:rPr>
                <w:rFonts w:eastAsia="Calibri"/>
                <w:sz w:val="18"/>
                <w:szCs w:val="18"/>
              </w:rPr>
              <w:t>инициалы, фамилия</w:t>
            </w:r>
          </w:p>
        </w:tc>
      </w:tr>
    </w:tbl>
    <w:p w14:paraId="11CD16D4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03F17C57" w14:textId="77777777" w:rsidR="009B4049" w:rsidRPr="009B4049" w:rsidRDefault="009B4049" w:rsidP="009B4049">
      <w:pPr>
        <w:widowControl/>
        <w:autoSpaceDE/>
        <w:autoSpaceDN/>
        <w:spacing w:line="360" w:lineRule="auto"/>
        <w:jc w:val="both"/>
        <w:rPr>
          <w:rFonts w:eastAsia="Calibri"/>
          <w:sz w:val="28"/>
        </w:rPr>
      </w:pPr>
      <w:r w:rsidRPr="009B4049">
        <w:rPr>
          <w:rFonts w:eastAsia="Calibri"/>
          <w:sz w:val="28"/>
        </w:rPr>
        <w:t>Зав. кафедрой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52"/>
        <w:gridCol w:w="284"/>
        <w:gridCol w:w="2409"/>
        <w:gridCol w:w="284"/>
        <w:gridCol w:w="2943"/>
      </w:tblGrid>
      <w:tr w:rsidR="009B4049" w:rsidRPr="009B4049" w14:paraId="36768699" w14:textId="77777777" w:rsidTr="006C37F4">
        <w:trPr>
          <w:jc w:val="center"/>
        </w:trPr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3BC75B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  <w:proofErr w:type="spellStart"/>
            <w:r w:rsidRPr="009B4049">
              <w:rPr>
                <w:rFonts w:eastAsia="Calibri"/>
                <w:sz w:val="28"/>
              </w:rPr>
              <w:t>к.г.н</w:t>
            </w:r>
            <w:proofErr w:type="spellEnd"/>
            <w:r w:rsidRPr="009B4049">
              <w:rPr>
                <w:rFonts w:eastAsia="Calibri"/>
                <w:sz w:val="28"/>
              </w:rPr>
              <w:t>., доцент</w:t>
            </w:r>
          </w:p>
        </w:tc>
        <w:tc>
          <w:tcPr>
            <w:tcW w:w="284" w:type="dxa"/>
          </w:tcPr>
          <w:p w14:paraId="2A5BDF47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16BE1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</w:tcPr>
          <w:p w14:paraId="62E45C58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B7925A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8"/>
              </w:rPr>
            </w:pPr>
            <w:r w:rsidRPr="009B4049">
              <w:rPr>
                <w:rFonts w:eastAsia="Calibri"/>
                <w:sz w:val="28"/>
              </w:rPr>
              <w:t xml:space="preserve">А.В. </w:t>
            </w:r>
            <w:proofErr w:type="spellStart"/>
            <w:r w:rsidRPr="009B4049">
              <w:rPr>
                <w:rFonts w:eastAsia="Calibri"/>
                <w:sz w:val="28"/>
              </w:rPr>
              <w:t>Затонская</w:t>
            </w:r>
            <w:proofErr w:type="spellEnd"/>
          </w:p>
        </w:tc>
      </w:tr>
      <w:tr w:rsidR="009B4049" w:rsidRPr="009B4049" w14:paraId="0B2AF767" w14:textId="77777777" w:rsidTr="006C37F4">
        <w:trPr>
          <w:jc w:val="center"/>
        </w:trPr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1677D1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9B4049">
              <w:rPr>
                <w:rFonts w:eastAsia="Calibri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04FF7DC6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888B752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9B4049">
              <w:rPr>
                <w:rFonts w:eastAsia="Calibri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0FEDACF1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105F76" w14:textId="77777777" w:rsidR="009B4049" w:rsidRPr="009B4049" w:rsidRDefault="009B4049" w:rsidP="009B4049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9B4049">
              <w:rPr>
                <w:rFonts w:eastAsia="Calibri"/>
                <w:sz w:val="18"/>
                <w:szCs w:val="18"/>
              </w:rPr>
              <w:t>инициалы, фамилия</w:t>
            </w:r>
          </w:p>
        </w:tc>
      </w:tr>
    </w:tbl>
    <w:p w14:paraId="0A61F37A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6AC6469D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538FF72F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550AB38B" w14:textId="77777777" w:rsidR="009B4049" w:rsidRPr="009B4049" w:rsidRDefault="009B4049" w:rsidP="009B4049">
      <w:pPr>
        <w:widowControl/>
        <w:autoSpaceDE/>
        <w:autoSpaceDN/>
        <w:jc w:val="both"/>
        <w:rPr>
          <w:rFonts w:eastAsia="Calibri"/>
          <w:sz w:val="28"/>
        </w:rPr>
      </w:pPr>
    </w:p>
    <w:p w14:paraId="16E4838E" w14:textId="64B395C3" w:rsidR="009A7707" w:rsidRDefault="009B4049" w:rsidP="009B4049">
      <w:pPr>
        <w:widowControl/>
        <w:autoSpaceDE/>
        <w:autoSpaceDN/>
        <w:jc w:val="center"/>
        <w:sectPr w:rsidR="009A7707">
          <w:footerReference w:type="default" r:id="rId8"/>
          <w:pgSz w:w="11910" w:h="16840"/>
          <w:pgMar w:top="1040" w:right="708" w:bottom="280" w:left="1275" w:header="720" w:footer="720" w:gutter="0"/>
          <w:cols w:space="720"/>
          <w:titlePg/>
        </w:sectPr>
      </w:pPr>
      <w:r w:rsidRPr="009B4049">
        <w:rPr>
          <w:rFonts w:eastAsia="Calibri"/>
          <w:sz w:val="28"/>
        </w:rPr>
        <w:t>Саратов 2026</w:t>
      </w:r>
      <w:bookmarkEnd w:id="0"/>
    </w:p>
    <w:p w14:paraId="1B9F74A4" w14:textId="4A7CC537" w:rsidR="009A7707" w:rsidRDefault="00F74408" w:rsidP="009B4049">
      <w:pPr>
        <w:pStyle w:val="1"/>
        <w:spacing w:before="0" w:line="360" w:lineRule="auto"/>
        <w:ind w:left="0" w:right="0" w:firstLine="709"/>
        <w:jc w:val="both"/>
        <w:rPr>
          <w:b w:val="0"/>
        </w:rPr>
      </w:pPr>
      <w:r>
        <w:rPr>
          <w:spacing w:val="-2"/>
        </w:rPr>
        <w:lastRenderedPageBreak/>
        <w:t>В</w:t>
      </w:r>
      <w:r>
        <w:rPr>
          <w:spacing w:val="-2"/>
        </w:rPr>
        <w:t xml:space="preserve">ведение. </w:t>
      </w:r>
      <w:r>
        <w:rPr>
          <w:b w:val="0"/>
        </w:rPr>
        <w:t xml:space="preserve">Саратовская и Тюменская области, находясь в разных частях России и обладая </w:t>
      </w:r>
      <w:r>
        <w:rPr>
          <w:b w:val="0"/>
        </w:rPr>
        <w:t>уникальными историческими, культурными и экономическими особенностями, демонстрируют различное качество жизни и демографические тенденции. Изучение качества жизни населения и демографических процессов в этих регионах позволяет не только понять текущие проб</w:t>
      </w:r>
      <w:r>
        <w:rPr>
          <w:b w:val="0"/>
        </w:rPr>
        <w:t>лемы и вызовы, с которыми они сталкиваются, но и выявить возможности для их дальнейшего развития.</w:t>
      </w:r>
    </w:p>
    <w:p w14:paraId="378C8979" w14:textId="77777777" w:rsidR="009A7707" w:rsidRDefault="00F74408" w:rsidP="009B4049">
      <w:pPr>
        <w:pStyle w:val="a4"/>
        <w:spacing w:line="360" w:lineRule="auto"/>
        <w:ind w:firstLine="709"/>
        <w:jc w:val="both"/>
      </w:pPr>
      <w:r>
        <w:rPr>
          <w:b/>
        </w:rPr>
        <w:t xml:space="preserve">Актуальность </w:t>
      </w:r>
      <w:r>
        <w:t>исследования обусловлена важностью раскрытия сущности качества жизни населения для изменения демографической ситуации в рамках регионального разв</w:t>
      </w:r>
      <w:r>
        <w:t>ития. Исследуемые регионы представляют интерес для сравнения, поскольку Саратовская область сталкивается с депопуляцией, оттоком населения и старением. Тюменская область (включая ХМАО – Югру и ЯНАО), напротив, демонстрирует положительную динамику благодаря</w:t>
      </w:r>
      <w:r>
        <w:t xml:space="preserve"> миграционному притоку и более благоприятной экономической ситуации. Сравнительный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выявить</w:t>
      </w:r>
      <w:r>
        <w:rPr>
          <w:spacing w:val="-4"/>
        </w:rPr>
        <w:t xml:space="preserve"> </w:t>
      </w:r>
      <w:r>
        <w:t xml:space="preserve">факторы, способствующие или препятствующие устойчивому развитию </w:t>
      </w:r>
      <w:r>
        <w:rPr>
          <w:spacing w:val="-2"/>
        </w:rPr>
        <w:t>регионов.</w:t>
      </w:r>
    </w:p>
    <w:p w14:paraId="33C21FAE" w14:textId="370636B0" w:rsidR="009A7707" w:rsidRDefault="00F74408" w:rsidP="009B4049">
      <w:pPr>
        <w:pStyle w:val="a4"/>
        <w:spacing w:line="360" w:lineRule="auto"/>
        <w:ind w:firstLine="709"/>
        <w:jc w:val="both"/>
      </w:pPr>
      <w:r>
        <w:rPr>
          <w:b/>
        </w:rPr>
        <w:t xml:space="preserve">Цель бакалаврской работы </w:t>
      </w:r>
      <w:r>
        <w:t xml:space="preserve">– сравнить </w:t>
      </w:r>
      <w:r>
        <w:t>влияние качества жизни населения в Са</w:t>
      </w:r>
      <w:r>
        <w:t xml:space="preserve">ратовской и Тюменской области на </w:t>
      </w:r>
      <w:r>
        <w:t>демографические процессы и развитие регионов.</w:t>
      </w:r>
    </w:p>
    <w:p w14:paraId="4AD37C37" w14:textId="5B34E647" w:rsidR="009A7707" w:rsidRPr="009B4049" w:rsidRDefault="00F74408" w:rsidP="009B4049">
      <w:pPr>
        <w:pStyle w:val="a4"/>
        <w:spacing w:line="360" w:lineRule="auto"/>
        <w:ind w:firstLine="709"/>
        <w:jc w:val="both"/>
      </w:pPr>
      <w:r>
        <w:t>Для</w:t>
      </w:r>
      <w:r>
        <w:rPr>
          <w:spacing w:val="78"/>
          <w:w w:val="150"/>
        </w:rPr>
        <w:t xml:space="preserve"> </w:t>
      </w:r>
      <w:r>
        <w:t>достижения</w:t>
      </w:r>
      <w:r>
        <w:rPr>
          <w:spacing w:val="78"/>
          <w:w w:val="150"/>
        </w:rPr>
        <w:t xml:space="preserve"> </w:t>
      </w:r>
      <w:r>
        <w:t>поставленной</w:t>
      </w:r>
      <w:r>
        <w:rPr>
          <w:spacing w:val="76"/>
          <w:w w:val="150"/>
        </w:rPr>
        <w:t xml:space="preserve"> </w:t>
      </w:r>
      <w:r>
        <w:t>цели</w:t>
      </w:r>
      <w:r>
        <w:rPr>
          <w:spacing w:val="76"/>
          <w:w w:val="150"/>
        </w:rPr>
        <w:t xml:space="preserve"> </w:t>
      </w:r>
      <w:r>
        <w:t>необходимо</w:t>
      </w:r>
      <w:r>
        <w:rPr>
          <w:spacing w:val="76"/>
          <w:w w:val="150"/>
        </w:rPr>
        <w:t xml:space="preserve"> </w:t>
      </w:r>
      <w:r>
        <w:t>решить</w:t>
      </w:r>
      <w:r>
        <w:rPr>
          <w:spacing w:val="78"/>
          <w:w w:val="150"/>
        </w:rPr>
        <w:t xml:space="preserve"> </w:t>
      </w:r>
      <w:r>
        <w:rPr>
          <w:spacing w:val="-2"/>
        </w:rPr>
        <w:t>следующие</w:t>
      </w:r>
      <w:r w:rsidR="009B4049">
        <w:rPr>
          <w:spacing w:val="-2"/>
        </w:rPr>
        <w:t xml:space="preserve"> </w:t>
      </w:r>
      <w:r w:rsidRPr="009B4049">
        <w:rPr>
          <w:b/>
          <w:bCs/>
          <w:spacing w:val="-2"/>
        </w:rPr>
        <w:t>задачи</w:t>
      </w:r>
      <w:r>
        <w:rPr>
          <w:spacing w:val="-2"/>
        </w:rPr>
        <w:t>:</w:t>
      </w:r>
    </w:p>
    <w:p w14:paraId="48DE2B74" w14:textId="77777777" w:rsidR="009A7707" w:rsidRDefault="00F74408" w:rsidP="009B4049">
      <w:pPr>
        <w:pStyle w:val="a7"/>
        <w:numPr>
          <w:ilvl w:val="0"/>
          <w:numId w:val="1"/>
        </w:numPr>
        <w:tabs>
          <w:tab w:val="left" w:pos="101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и</w:t>
      </w:r>
      <w:r>
        <w:rPr>
          <w:sz w:val="28"/>
        </w:rPr>
        <w:t>зучить</w:t>
      </w:r>
      <w:r>
        <w:rPr>
          <w:spacing w:val="33"/>
          <w:sz w:val="28"/>
        </w:rPr>
        <w:t xml:space="preserve"> </w:t>
      </w:r>
      <w:r>
        <w:rPr>
          <w:sz w:val="28"/>
        </w:rPr>
        <w:t>теоретические основы</w:t>
      </w:r>
      <w:r>
        <w:rPr>
          <w:spacing w:val="33"/>
          <w:sz w:val="28"/>
        </w:rPr>
        <w:t xml:space="preserve"> </w:t>
      </w:r>
      <w:r>
        <w:rPr>
          <w:sz w:val="28"/>
        </w:rPr>
        <w:t>демографического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3"/>
          <w:sz w:val="28"/>
        </w:rPr>
        <w:t xml:space="preserve"> </w:t>
      </w:r>
      <w:r>
        <w:rPr>
          <w:sz w:val="28"/>
        </w:rPr>
        <w:t>населения и индикаторов качества жизни;</w:t>
      </w:r>
    </w:p>
    <w:p w14:paraId="7EA30788" w14:textId="77777777" w:rsidR="009A7707" w:rsidRDefault="00F74408" w:rsidP="009B4049">
      <w:pPr>
        <w:pStyle w:val="a7"/>
        <w:numPr>
          <w:ilvl w:val="0"/>
          <w:numId w:val="1"/>
        </w:numPr>
        <w:tabs>
          <w:tab w:val="left" w:pos="1139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выявить</w:t>
      </w:r>
      <w:r>
        <w:rPr>
          <w:spacing w:val="80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80"/>
          <w:sz w:val="28"/>
        </w:rPr>
        <w:t xml:space="preserve"> </w:t>
      </w:r>
      <w:r>
        <w:rPr>
          <w:sz w:val="28"/>
        </w:rPr>
        <w:t>тенденции,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регионов;</w:t>
      </w:r>
    </w:p>
    <w:p w14:paraId="4DB51EC1" w14:textId="77777777" w:rsidR="009A7707" w:rsidRDefault="00F74408" w:rsidP="009B4049">
      <w:pPr>
        <w:pStyle w:val="a7"/>
        <w:numPr>
          <w:ilvl w:val="0"/>
          <w:numId w:val="1"/>
        </w:numPr>
        <w:tabs>
          <w:tab w:val="left" w:pos="1139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выделить наиболее значимые демографические процессы и провести сравнительный анализ зависимости между показателями демографических 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Саратовской и Тюменской области (включая ХМАО – Югру и ЯНАО);</w:t>
      </w:r>
    </w:p>
    <w:p w14:paraId="49005984" w14:textId="77777777" w:rsidR="009A7707" w:rsidRDefault="00F74408" w:rsidP="009B4049">
      <w:pPr>
        <w:pStyle w:val="a7"/>
        <w:numPr>
          <w:ilvl w:val="0"/>
          <w:numId w:val="1"/>
        </w:numPr>
        <w:tabs>
          <w:tab w:val="left" w:pos="113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раскрыть понятие «качество жизни», проанализировав его роль в </w:t>
      </w:r>
      <w:r>
        <w:rPr>
          <w:sz w:val="28"/>
        </w:rPr>
        <w:lastRenderedPageBreak/>
        <w:t>формировании демографического и миграционного поведения населения, и сравнить факторы, опред</w:t>
      </w:r>
      <w:r>
        <w:rPr>
          <w:sz w:val="28"/>
        </w:rPr>
        <w:t>еляющие качество жизни в Саратовской и Тюменской области (включая ХМАО – Югру и ЯНАО);</w:t>
      </w:r>
    </w:p>
    <w:p w14:paraId="3E59A373" w14:textId="77777777" w:rsidR="009A7707" w:rsidRDefault="00F74408" w:rsidP="009B4049">
      <w:pPr>
        <w:pStyle w:val="a7"/>
        <w:numPr>
          <w:ilvl w:val="0"/>
          <w:numId w:val="1"/>
        </w:numPr>
        <w:tabs>
          <w:tab w:val="left" w:pos="105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провести сравнительный анализ субъективных оценок качества жизни населения в Саратовской и Тюменской областях (включая ХМАО – Югру и ЯНАО) на основе авторского социологи</w:t>
      </w:r>
      <w:r>
        <w:rPr>
          <w:sz w:val="28"/>
        </w:rPr>
        <w:t>ческого опроса.</w:t>
      </w:r>
    </w:p>
    <w:p w14:paraId="7E8BF6D8" w14:textId="77777777" w:rsidR="009A7707" w:rsidRDefault="00F74408" w:rsidP="009B4049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>Объект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Саратовской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Тюменской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областей.</w:t>
      </w:r>
    </w:p>
    <w:p w14:paraId="641600A3" w14:textId="77777777" w:rsidR="009A7707" w:rsidRDefault="00F74408" w:rsidP="009B4049">
      <w:pPr>
        <w:pStyle w:val="a4"/>
        <w:spacing w:line="360" w:lineRule="auto"/>
        <w:ind w:firstLine="709"/>
        <w:jc w:val="both"/>
      </w:pPr>
      <w:r>
        <w:rPr>
          <w:b/>
        </w:rPr>
        <w:t xml:space="preserve">Предметом исследования </w:t>
      </w:r>
      <w:r>
        <w:t xml:space="preserve">является качество жизни населения, с учетом демографической динамики в двух регионах и проявления миграционных </w:t>
      </w:r>
      <w:r>
        <w:rPr>
          <w:spacing w:val="-2"/>
        </w:rPr>
        <w:t>процессов.</w:t>
      </w:r>
    </w:p>
    <w:p w14:paraId="3E475394" w14:textId="77777777" w:rsidR="009A7707" w:rsidRDefault="00F74408" w:rsidP="009B4049">
      <w:pPr>
        <w:pStyle w:val="a4"/>
        <w:spacing w:line="360" w:lineRule="auto"/>
        <w:ind w:firstLine="709"/>
        <w:jc w:val="both"/>
      </w:pPr>
      <w:r>
        <w:rPr>
          <w:b/>
        </w:rPr>
        <w:t>Методы</w:t>
      </w:r>
      <w:r>
        <w:t>, использованные при написании работы: описательный, сравнительный, статистический, анализ, синтез, картографический.</w:t>
      </w:r>
    </w:p>
    <w:p w14:paraId="20A56752" w14:textId="77777777" w:rsidR="009A7707" w:rsidRDefault="00F74408" w:rsidP="009B4049">
      <w:pPr>
        <w:pStyle w:val="a4"/>
        <w:spacing w:line="360" w:lineRule="auto"/>
        <w:ind w:firstLine="709"/>
        <w:jc w:val="both"/>
      </w:pPr>
      <w:r>
        <w:t>При написа</w:t>
      </w:r>
      <w:r>
        <w:t xml:space="preserve">нии работы использовались следующие </w:t>
      </w:r>
      <w:r>
        <w:rPr>
          <w:b/>
        </w:rPr>
        <w:t>источники</w:t>
      </w:r>
      <w:r>
        <w:t>: монографии, статьи, энциклопедии, статистические сборники, интернет-</w:t>
      </w:r>
      <w:r>
        <w:rPr>
          <w:spacing w:val="-2"/>
        </w:rPr>
        <w:t>издания.</w:t>
      </w:r>
    </w:p>
    <w:p w14:paraId="4E237D8F" w14:textId="77777777" w:rsidR="00FF6D3E" w:rsidRDefault="00F74408" w:rsidP="00FF6D3E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состоит из введения, четырех разделов</w:t>
      </w:r>
      <w:r>
        <w:rPr>
          <w:spacing w:val="-2"/>
          <w:sz w:val="28"/>
          <w:szCs w:val="28"/>
        </w:rPr>
        <w:t>,</w:t>
      </w:r>
      <w:r>
        <w:rPr>
          <w:sz w:val="28"/>
          <w:szCs w:val="28"/>
        </w:rPr>
        <w:t xml:space="preserve"> заключения, списка использованных источников и 6 приложений.</w:t>
      </w:r>
    </w:p>
    <w:p w14:paraId="39C84AE6" w14:textId="5D0A0A28" w:rsidR="009A7707" w:rsidRPr="00FF6D3E" w:rsidRDefault="00FF6D3E" w:rsidP="00FF6D3E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FF6D3E">
        <w:rPr>
          <w:b/>
          <w:bCs/>
          <w:sz w:val="28"/>
          <w:szCs w:val="28"/>
        </w:rPr>
        <w:t xml:space="preserve">1 </w:t>
      </w:r>
      <w:r w:rsidR="00F74408" w:rsidRPr="00FF6D3E">
        <w:rPr>
          <w:b/>
          <w:bCs/>
          <w:sz w:val="28"/>
          <w:szCs w:val="28"/>
        </w:rPr>
        <w:t>Теоретические основы изучения категорий «демографическая ситуация» и «качество жизни населения»</w:t>
      </w:r>
      <w:r w:rsidR="009B4049" w:rsidRPr="00FF6D3E">
        <w:rPr>
          <w:b/>
          <w:bCs/>
          <w:sz w:val="28"/>
          <w:szCs w:val="28"/>
        </w:rPr>
        <w:t>.</w:t>
      </w:r>
      <w:r w:rsidR="009B4049" w:rsidRPr="00FF6D3E">
        <w:rPr>
          <w:sz w:val="28"/>
          <w:szCs w:val="28"/>
        </w:rPr>
        <w:t xml:space="preserve"> </w:t>
      </w:r>
      <w:r w:rsidR="00F74408" w:rsidRPr="00FF6D3E">
        <w:rPr>
          <w:sz w:val="28"/>
          <w:szCs w:val="28"/>
        </w:rPr>
        <w:t xml:space="preserve">Исследование теоретической категории «качество жизни населения» является актуальным направлением, поскольку качество жизни населения – главный фактор улучшения </w:t>
      </w:r>
      <w:r w:rsidR="00F74408" w:rsidRPr="00FF6D3E">
        <w:rPr>
          <w:sz w:val="28"/>
          <w:szCs w:val="28"/>
        </w:rPr>
        <w:t>здоровья населения, снижение</w:t>
      </w:r>
      <w:r w:rsidR="00F74408" w:rsidRPr="00FF6D3E">
        <w:rPr>
          <w:spacing w:val="-2"/>
          <w:sz w:val="28"/>
          <w:szCs w:val="28"/>
        </w:rPr>
        <w:t xml:space="preserve"> </w:t>
      </w:r>
      <w:r w:rsidR="00F74408" w:rsidRPr="00FF6D3E">
        <w:rPr>
          <w:sz w:val="28"/>
          <w:szCs w:val="28"/>
        </w:rPr>
        <w:t>уровня смертности</w:t>
      </w:r>
      <w:r w:rsidR="00F74408" w:rsidRPr="00FF6D3E">
        <w:rPr>
          <w:spacing w:val="-1"/>
          <w:sz w:val="28"/>
          <w:szCs w:val="28"/>
        </w:rPr>
        <w:t xml:space="preserve"> </w:t>
      </w:r>
      <w:r w:rsidR="00F74408" w:rsidRPr="00FF6D3E">
        <w:rPr>
          <w:sz w:val="28"/>
          <w:szCs w:val="28"/>
        </w:rPr>
        <w:t>и повышение уровня рождаемости, роста средней продолжительности жизни, развития культуры, роста показателей окружающей среды. Качество жизни характеризует доступ к материальным ресурсам, от которых зависит дос</w:t>
      </w:r>
      <w:r w:rsidR="00F74408" w:rsidRPr="00FF6D3E">
        <w:rPr>
          <w:sz w:val="28"/>
          <w:szCs w:val="28"/>
        </w:rPr>
        <w:t xml:space="preserve">тойное существование населения и улучшение демографической </w:t>
      </w:r>
      <w:r w:rsidR="00F74408" w:rsidRPr="00FF6D3E">
        <w:rPr>
          <w:spacing w:val="-2"/>
          <w:sz w:val="28"/>
          <w:szCs w:val="28"/>
        </w:rPr>
        <w:t>ситуации.</w:t>
      </w:r>
    </w:p>
    <w:p w14:paraId="72F8A50D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Д</w:t>
      </w:r>
      <w:r>
        <w:rPr>
          <w:i/>
          <w:sz w:val="28"/>
          <w:szCs w:val="28"/>
        </w:rPr>
        <w:t>емографическая ситуация</w:t>
      </w:r>
      <w:r>
        <w:rPr>
          <w:sz w:val="28"/>
          <w:szCs w:val="28"/>
        </w:rPr>
        <w:t xml:space="preserve"> – это состояние статической оценки демографических процессов и структуры населения в определенный момент или период времени, которая обычно рассматривается примен</w:t>
      </w:r>
      <w:r>
        <w:rPr>
          <w:sz w:val="28"/>
          <w:szCs w:val="28"/>
        </w:rPr>
        <w:t xml:space="preserve">ительно к стране в целом или ее отдельным частям. Демографическая обстановка является результатом объективных социально-экономических закономерностей развития </w:t>
      </w:r>
      <w:r>
        <w:rPr>
          <w:sz w:val="28"/>
          <w:szCs w:val="28"/>
        </w:rPr>
        <w:lastRenderedPageBreak/>
        <w:t>общества.</w:t>
      </w:r>
    </w:p>
    <w:p w14:paraId="28B405F6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Выделяют три вида популяционных изменений. Нисходящая демографическая динамика – когда </w:t>
      </w:r>
      <w:r>
        <w:rPr>
          <w:sz w:val="28"/>
          <w:szCs w:val="28"/>
        </w:rPr>
        <w:t>население сокращается. В России с 1992 г. нисходящая динамика обусловлена естественной убылью населения. Восходящая демографическая динамика – когда население увеличивается. Нулевая динамика – неизменная численность населения.</w:t>
      </w:r>
    </w:p>
    <w:p w14:paraId="3B2B5379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Качество жизни</w:t>
      </w:r>
      <w:r>
        <w:rPr>
          <w:sz w:val="28"/>
          <w:szCs w:val="28"/>
        </w:rPr>
        <w:t xml:space="preserve"> – это совокупн</w:t>
      </w:r>
      <w:r>
        <w:rPr>
          <w:sz w:val="28"/>
          <w:szCs w:val="28"/>
        </w:rPr>
        <w:t>ая характеристика уровня и объективных и субъективных условий жизни населения, определяющих физическое, ментальное, социально-культурное развитие человека. Качество жизни показывает результативность образа жизни людей.</w:t>
      </w:r>
    </w:p>
    <w:p w14:paraId="5EAA9079" w14:textId="77777777" w:rsidR="009A7707" w:rsidRDefault="00F74408" w:rsidP="00FF6D3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Важнейшие критерии оценки качества жи</w:t>
      </w:r>
      <w:r>
        <w:rPr>
          <w:sz w:val="28"/>
          <w:szCs w:val="28"/>
        </w:rPr>
        <w:t>зни населения на региональном уровне:</w:t>
      </w:r>
    </w:p>
    <w:p w14:paraId="3E5FAA62" w14:textId="77777777" w:rsidR="009A7707" w:rsidRDefault="00F74408" w:rsidP="00FF6D3E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экономические индикаторы: доход на душу населения, уровень занятости и безработицы;</w:t>
      </w:r>
    </w:p>
    <w:p w14:paraId="3BD858E5" w14:textId="77777777" w:rsidR="009A7707" w:rsidRDefault="00F74408" w:rsidP="00FF6D3E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индикаторы: уровень образования, обеспеченность жильём, доступность медицинских услуг, уровень преступности;</w:t>
      </w:r>
    </w:p>
    <w:p w14:paraId="0BC4A252" w14:textId="77777777" w:rsidR="009A7707" w:rsidRDefault="00F74408" w:rsidP="00FF6D3E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демографически</w:t>
      </w:r>
      <w:r>
        <w:rPr>
          <w:sz w:val="28"/>
          <w:szCs w:val="28"/>
        </w:rPr>
        <w:t>е индикаторы: ожидаемая продолжительность жизни, уровень младенческой смертности, естественный прирост;</w:t>
      </w:r>
    </w:p>
    <w:p w14:paraId="0025FEB8" w14:textId="77777777" w:rsidR="009A7707" w:rsidRDefault="00F74408" w:rsidP="00FF6D3E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экологические индикаторы: доля зелёных зон, уровень загрязнения воздуха и воды;</w:t>
      </w:r>
    </w:p>
    <w:p w14:paraId="1D18DFA6" w14:textId="77777777" w:rsid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Главными субъективными индикаторами качества жизни населения являются ощ</w:t>
      </w:r>
      <w:r>
        <w:rPr>
          <w:sz w:val="28"/>
          <w:szCs w:val="28"/>
        </w:rPr>
        <w:t>ущение безопасности и удовлетворённость собственной жизнью.</w:t>
      </w:r>
    </w:p>
    <w:p w14:paraId="00A1482D" w14:textId="563A7EA2" w:rsidR="009A7707" w:rsidRP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 w:rsidRPr="006C37F4">
        <w:rPr>
          <w:b/>
          <w:bCs/>
          <w:sz w:val="28"/>
          <w:szCs w:val="28"/>
        </w:rPr>
        <w:t>2</w:t>
      </w:r>
      <w:r w:rsidRPr="006C37F4">
        <w:rPr>
          <w:b/>
          <w:bCs/>
          <w:sz w:val="28"/>
          <w:szCs w:val="28"/>
        </w:rPr>
        <w:t xml:space="preserve"> Характеристика демографической ситуации в Саратовской области</w:t>
      </w:r>
      <w:r w:rsidR="00FF6D3E" w:rsidRPr="006C37F4">
        <w:rPr>
          <w:b/>
          <w:bCs/>
          <w:sz w:val="28"/>
          <w:szCs w:val="28"/>
        </w:rPr>
        <w:t xml:space="preserve">. </w:t>
      </w:r>
      <w:r w:rsidRPr="006C37F4">
        <w:rPr>
          <w:sz w:val="28"/>
          <w:szCs w:val="28"/>
        </w:rPr>
        <w:t>Саратовская область расположена на юго-востоке Европейской части России, входит в состав ПФО. Площадь региона составляет 101 240 кв</w:t>
      </w:r>
      <w:r w:rsidRPr="006C37F4">
        <w:rPr>
          <w:sz w:val="28"/>
          <w:szCs w:val="28"/>
        </w:rPr>
        <w:t>. км. Административно выделено 37 районов. Население проживает в 18 городах, 25 ПГТ и около 1800 сел</w:t>
      </w:r>
      <w:r w:rsidRPr="006C37F4">
        <w:rPr>
          <w:sz w:val="28"/>
          <w:szCs w:val="28"/>
        </w:rPr>
        <w:t xml:space="preserve"> </w:t>
      </w:r>
      <w:r w:rsidR="00094761" w:rsidRPr="006C37F4">
        <w:rPr>
          <w:sz w:val="28"/>
          <w:szCs w:val="28"/>
        </w:rPr>
        <w:t>(</w:t>
      </w:r>
      <w:r w:rsidR="00094761" w:rsidRPr="006C37F4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6C37F4">
        <w:rPr>
          <w:sz w:val="28"/>
          <w:szCs w:val="28"/>
        </w:rPr>
        <w:t>)</w:t>
      </w:r>
      <w:r w:rsidRPr="006C37F4">
        <w:rPr>
          <w:sz w:val="28"/>
          <w:szCs w:val="28"/>
        </w:rPr>
        <w:t>.</w:t>
      </w:r>
    </w:p>
    <w:p w14:paraId="4BC0F019" w14:textId="3A604658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 период с 2014 по 2024 гг. численность населения Саратовской области сократилась на 130,1 тыс. чел. Численность городского населения сначала </w:t>
      </w:r>
      <w:r>
        <w:rPr>
          <w:sz w:val="28"/>
          <w:szCs w:val="28"/>
        </w:rPr>
        <w:lastRenderedPageBreak/>
        <w:t xml:space="preserve">увеличивалась с 1893,8 тыс. чел. (2014 г.) до 1915,0 тыс. чел. (2017 г.), но при сокращении  в 2024 г. достигла 1836,0 тыс. чел. Условный рост населения Саратовской области обеспечивается исключительно за счет увеличения людности </w:t>
      </w:r>
      <w:proofErr w:type="spellStart"/>
      <w:r>
        <w:rPr>
          <w:sz w:val="28"/>
          <w:szCs w:val="28"/>
        </w:rPr>
        <w:t>Саратовско</w:t>
      </w:r>
      <w:proofErr w:type="spellEnd"/>
      <w:r>
        <w:rPr>
          <w:sz w:val="28"/>
          <w:szCs w:val="28"/>
        </w:rPr>
        <w:t>-Энгельсской агл</w:t>
      </w:r>
      <w:r>
        <w:rPr>
          <w:sz w:val="28"/>
          <w:szCs w:val="28"/>
        </w:rPr>
        <w:t>омерации. Уровень урбанизации составляет 77,2%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9DA9C89" w14:textId="3478141B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сельского населения стабильно уменьшается. За последние 10 лет она сократилась на 72327 чел., или на 11,6%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>
        <w:rPr>
          <w:sz w:val="28"/>
          <w:szCs w:val="28"/>
        </w:rPr>
        <w:t>. Сельское население мигрирует в города Саратовской области, а городское – в более</w:t>
      </w:r>
      <w:r>
        <w:rPr>
          <w:sz w:val="28"/>
          <w:szCs w:val="28"/>
        </w:rPr>
        <w:t xml:space="preserve"> крупные города других субъектов России.</w:t>
      </w:r>
    </w:p>
    <w:p w14:paraId="661FD738" w14:textId="16F0912B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снижение численности населения в большей мере повлияла естественная убыль. Максимальный размер естественной убыли отмечен в 2021 г. (-12,2‰). В настоящее время этот показатель остается на стабильно низком уровне </w:t>
      </w:r>
      <w:r>
        <w:rPr>
          <w:sz w:val="28"/>
          <w:szCs w:val="28"/>
        </w:rPr>
        <w:t xml:space="preserve">(-7,0‰). Миграционная убыль достигала пиков минимума в 2018 (-4,1‰) и 2022 (-3,3‰) </w:t>
      </w:r>
      <w:proofErr w:type="spellStart"/>
      <w:r>
        <w:rPr>
          <w:sz w:val="28"/>
          <w:szCs w:val="28"/>
        </w:rPr>
        <w:t>гг</w:t>
      </w:r>
      <w:proofErr w:type="spellEnd"/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14:paraId="2F5EFC32" w14:textId="48C1462C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половозрастной пирамиде прослеживается выраженная гендерная диспропорция: существенное преобладание женского населения над мужским в группах старше 50 лет. В возр</w:t>
      </w:r>
      <w:r>
        <w:rPr>
          <w:sz w:val="28"/>
          <w:szCs w:val="28"/>
        </w:rPr>
        <w:t>астной структуре прослеживается тенденция увеличения удельного веса в возрасте 65 лет и старше (19,1%), что выступает маркером демографического старения. По России этот показатель составляет 17%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3A984EF" w14:textId="70CB2492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Суммарный коэффициент рождаемости в 2014 г. составлял 1,</w:t>
      </w:r>
      <w:r>
        <w:rPr>
          <w:sz w:val="28"/>
          <w:szCs w:val="28"/>
        </w:rPr>
        <w:t>574 ребенка на 1 женщину, в 2024 г. – только 1,038 (сократился на 34%). Это на 26,4% ниже, чем в целом по России (1,41). Общий коэффициент рождаемости (ОКР) снизился с 11,6‰ в 2014 г. до 6,3‰ в 2024 г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>
        <w:rPr>
          <w:sz w:val="28"/>
          <w:szCs w:val="28"/>
        </w:rPr>
        <w:t>. Средний возраст матери при рождении первого ребенк</w:t>
      </w:r>
      <w:r>
        <w:rPr>
          <w:sz w:val="28"/>
          <w:szCs w:val="28"/>
        </w:rPr>
        <w:t>а вырос на 9-10 лет.</w:t>
      </w:r>
    </w:p>
    <w:p w14:paraId="22A16759" w14:textId="20B681A7" w:rsidR="009A7707" w:rsidRPr="009B4049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Ожидаемая продолжительность жизни увеличивалась в период 2014-2019 гг. с 71,03 до 73,28 года, но снизилась до 72,8 года (2024 г.). Общий коэффициент смертности (ОКС) практически не изменился: 14,1‰ в 2014 г., 14,2‰ в 2024 г.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 w:rsidRPr="009B4049">
        <w:rPr>
          <w:sz w:val="28"/>
          <w:szCs w:val="28"/>
        </w:rPr>
        <w:t>.</w:t>
      </w:r>
    </w:p>
    <w:p w14:paraId="4E1BB67E" w14:textId="77777777" w:rsid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 </w:t>
      </w:r>
      <w:r>
        <w:rPr>
          <w:sz w:val="28"/>
          <w:szCs w:val="28"/>
        </w:rPr>
        <w:t xml:space="preserve">января 2024 г. численность населения Саратовской области составляла </w:t>
      </w:r>
      <w:r>
        <w:rPr>
          <w:sz w:val="28"/>
          <w:szCs w:val="28"/>
        </w:rPr>
        <w:lastRenderedPageBreak/>
        <w:t xml:space="preserve">2,428 млн. человек. До 2046 г. прогнозируется сокращение численности на 422,8 тыс. чел. (17,9%). Прогнозируется увеличение естественного прироста с -8,3‰ до -5,5‰ и миграционного прироста </w:t>
      </w:r>
      <w:r>
        <w:rPr>
          <w:sz w:val="28"/>
          <w:szCs w:val="28"/>
        </w:rPr>
        <w:t>с -2,2‰ до -1,8‰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26272E46" w14:textId="4F56C04A" w:rsidR="009A7707" w:rsidRP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 w:rsidRPr="006C37F4">
        <w:rPr>
          <w:sz w:val="28"/>
          <w:szCs w:val="28"/>
        </w:rPr>
        <w:t>Сокращение населения будет достигаться за счет естественной убыли. ОКР значительно меньше ОКС. Прогнозируется увеличение ОКР (с 6,1 до 8,9‰) и ОКС – с 14,4‰ до 15,0‰ в 2040 г., но затем к 2046 г. возможно уменьшение до 14,5‰</w:t>
      </w:r>
      <w:r w:rsidRPr="006C37F4">
        <w:rPr>
          <w:sz w:val="28"/>
          <w:szCs w:val="28"/>
        </w:rPr>
        <w:t xml:space="preserve"> </w:t>
      </w:r>
      <w:r w:rsidR="00094761" w:rsidRPr="006C37F4">
        <w:rPr>
          <w:sz w:val="28"/>
          <w:szCs w:val="28"/>
        </w:rPr>
        <w:t>(</w:t>
      </w:r>
      <w:r w:rsidR="00094761" w:rsidRPr="006C37F4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6C37F4">
        <w:rPr>
          <w:sz w:val="28"/>
          <w:szCs w:val="28"/>
        </w:rPr>
        <w:t>)</w:t>
      </w:r>
      <w:r w:rsidRPr="006C37F4">
        <w:rPr>
          <w:sz w:val="28"/>
          <w:szCs w:val="28"/>
        </w:rPr>
        <w:t>. Прог</w:t>
      </w:r>
      <w:r w:rsidRPr="006C37F4">
        <w:rPr>
          <w:sz w:val="28"/>
          <w:szCs w:val="28"/>
        </w:rPr>
        <w:t xml:space="preserve">нозируется сокращение мужского и женского населения (на 18,4% и 19,8% соответственно) и значительное сокращение сельского населения (на 33%). </w:t>
      </w:r>
    </w:p>
    <w:p w14:paraId="5D8A457B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сновными проблемами остаются сокращение численности населения, старение населения, диспропорции в </w:t>
      </w:r>
      <w:r>
        <w:rPr>
          <w:sz w:val="28"/>
          <w:szCs w:val="28"/>
        </w:rPr>
        <w:t>расселении с концентрацией жителей в городах и опустением сельских территорий.</w:t>
      </w:r>
    </w:p>
    <w:p w14:paraId="1128631B" w14:textId="5A4C2EBB" w:rsidR="009A7707" w:rsidRPr="00094761" w:rsidRDefault="00F74408" w:rsidP="006C37F4">
      <w:pPr>
        <w:pStyle w:val="a7"/>
        <w:tabs>
          <w:tab w:val="left" w:pos="1496"/>
        </w:tabs>
        <w:spacing w:line="360" w:lineRule="auto"/>
        <w:ind w:left="0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Характеристика демографической ситуации в Тюменской области</w:t>
      </w:r>
      <w:r w:rsidR="00FF6D3E"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Тюменская область входит в состав УФО. В состав региона входят территории Ханты-Мансийского и Ямало-Ненецкого авто</w:t>
      </w:r>
      <w:r>
        <w:rPr>
          <w:sz w:val="28"/>
          <w:szCs w:val="28"/>
        </w:rPr>
        <w:t>номных округов. Площадь региона составляет 1464,2 тыс. кв. км. Административно выделено 38 районов. Население проживает в 26 городах, 46 ПГТ и около 1500 сел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094761">
        <w:rPr>
          <w:sz w:val="28"/>
          <w:szCs w:val="28"/>
        </w:rPr>
        <w:t>)</w:t>
      </w:r>
      <w:r w:rsidRPr="00094761">
        <w:rPr>
          <w:sz w:val="28"/>
          <w:szCs w:val="28"/>
        </w:rPr>
        <w:t>.</w:t>
      </w:r>
    </w:p>
    <w:p w14:paraId="458684C9" w14:textId="1FCD1ABA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>
        <w:rPr>
          <w:sz w:val="28"/>
          <w:szCs w:val="28"/>
        </w:rPr>
        <w:t>а период с 2014 по 2024 гг. численность населения Тюменской области увеличилась на 339,6 ты</w:t>
      </w:r>
      <w:r>
        <w:rPr>
          <w:sz w:val="28"/>
          <w:szCs w:val="28"/>
        </w:rPr>
        <w:t>с. человек (9,6%). Увеличение достигается за счет роста численности городского населения, особенно г. Тюмени. Уровень урбанизации – 81,3% (в ХМАО – 92,4%, в ЯНАО – 85,3%, в южной части – 67,9%). Численность сельского населения увеличилась всего на 2,3%</w:t>
      </w:r>
      <w:r w:rsidRPr="009B4049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Демографические показатели... [Электронный ресурс], 2025</w:t>
      </w:r>
      <w:r w:rsidR="006C37F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0F04715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Рост населения обеспечивается за счет двух ключевых факторов: 1. Миграционный прирост в южной части Тюменской области (без ХМАО и ЯНАО) – привлека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 мигрантов комфортными условиями жизни. 2. Естественный прирост в ХМАО – Югра и ЯНАО – высокие зарплаты, с</w:t>
      </w:r>
      <w:r>
        <w:rPr>
          <w:sz w:val="28"/>
          <w:szCs w:val="28"/>
        </w:rPr>
        <w:t>еверные надбавки, программы поддержки семей, традиционно большие семьи у коренных народов.</w:t>
      </w:r>
    </w:p>
    <w:p w14:paraId="660B93DC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Тюменская область отличается уникальной и контрастной половозрастной структурой. Преобладание мужчин в младших возрастных группах до 29 лет связано с притоком мужско</w:t>
      </w:r>
      <w:r>
        <w:rPr>
          <w:sz w:val="28"/>
          <w:szCs w:val="28"/>
        </w:rPr>
        <w:t>й рабочей силы в нефтегазовый сектор. В возрастной категории от 30 до 50 лет преобладают женщины (высокая мужская смертность). Отчетливое преобладание женщин в возрастных группах 55 лет и старше является проявлением более значительной продолжительности жиз</w:t>
      </w:r>
      <w:r>
        <w:rPr>
          <w:sz w:val="28"/>
          <w:szCs w:val="28"/>
        </w:rPr>
        <w:t>ни женщин.</w:t>
      </w:r>
    </w:p>
    <w:p w14:paraId="574992A1" w14:textId="28A2ABC6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возрастной категории 65 лет и старше в общей численности примерно равна 7,5%, что не позволяет отнести население к «старому». Женщин в этой группе – 55,4% (нетипичная ситуация для России)</w:t>
      </w:r>
      <w:r w:rsidRPr="009B4049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Демографические показатели... [Электронный ресурс], 2025</w:t>
      </w:r>
      <w:r w:rsidR="006C37F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F4A72BF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Суммарный коэффициент рождаемости в 2023 г. сос</w:t>
      </w:r>
      <w:r>
        <w:rPr>
          <w:sz w:val="28"/>
          <w:szCs w:val="28"/>
        </w:rPr>
        <w:t>тавлял 1,720 ребенка на 1 женщину (на 23,1% выше, чем в целом по России). ЯНАО занимает 3 место в России по СКР – 1,92. Общий коэффициент рождаемости снизился с 14,1‰ в 2017 г. до 11,0‰ в 2023 г., но остается выше среднероссийского (8,6‰).</w:t>
      </w:r>
    </w:p>
    <w:p w14:paraId="3484E3C7" w14:textId="32129486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Ожидаемая продол</w:t>
      </w:r>
      <w:r>
        <w:rPr>
          <w:sz w:val="28"/>
          <w:szCs w:val="28"/>
        </w:rPr>
        <w:t>жительность жизни выросла до 75,4 лет (мужчины – 70,1, женщины – 80,5). Общий коэффициент смертности практически не изменился: 7,8‰ в 2017 г., 7,6‰ в 2023 г. (низкий уровень)</w:t>
      </w:r>
      <w:r w:rsidRPr="009B4049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Демографические показатели... [Электронный ресурс], 2025</w:t>
      </w:r>
      <w:r w:rsidR="006C37F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F732AB5" w14:textId="77777777" w:rsid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1 января 2025 г. численность населения Тюменской области составляла 3,897</w:t>
      </w:r>
      <w:r>
        <w:rPr>
          <w:sz w:val="28"/>
          <w:szCs w:val="28"/>
        </w:rPr>
        <w:t xml:space="preserve"> млн. человек. До 2045 г. прогнозируется увеличение на 484,4 тыс. чел. (12,4%). Также прогнозируется увеличение естественного прироста с 1,5‰ до 3,6‰ и сокращение миграционного прироста с 3,6‰ до 3,3‰.</w:t>
      </w:r>
    </w:p>
    <w:p w14:paraId="123845CC" w14:textId="29BCEA3F" w:rsidR="009A7707" w:rsidRP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 w:rsidRPr="006C37F4">
        <w:rPr>
          <w:sz w:val="28"/>
          <w:szCs w:val="28"/>
        </w:rPr>
        <w:t>Прогнозируется увеличение ОКР (с 9,9 до 12,6‰) и ОКС (</w:t>
      </w:r>
      <w:r w:rsidRPr="006C37F4">
        <w:rPr>
          <w:sz w:val="28"/>
          <w:szCs w:val="28"/>
        </w:rPr>
        <w:t>с 8,3 до 9,1‰). Увеличение населения будет достигаться за счет естественного прироста. ОПЖ прогнозируется до 80,94 лет. Прогнозируется увеличение численности мужского и женского населения на 13%</w:t>
      </w:r>
      <w:r w:rsidRPr="006C37F4">
        <w:rPr>
          <w:sz w:val="28"/>
          <w:szCs w:val="28"/>
        </w:rPr>
        <w:t xml:space="preserve"> </w:t>
      </w:r>
      <w:r w:rsidR="00094761" w:rsidRPr="006C37F4">
        <w:rPr>
          <w:sz w:val="28"/>
          <w:szCs w:val="28"/>
        </w:rPr>
        <w:t>(</w:t>
      </w:r>
      <w:r w:rsidR="00094761" w:rsidRPr="006C37F4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6C37F4">
        <w:rPr>
          <w:sz w:val="28"/>
          <w:szCs w:val="28"/>
        </w:rPr>
        <w:t>)</w:t>
      </w:r>
      <w:r w:rsidRPr="006C37F4">
        <w:rPr>
          <w:sz w:val="28"/>
          <w:szCs w:val="28"/>
        </w:rPr>
        <w:t>.</w:t>
      </w:r>
    </w:p>
    <w:p w14:paraId="16CEBBBD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лючевые тенденции:</w:t>
      </w:r>
    </w:p>
    <w:p w14:paraId="53A2778C" w14:textId="77777777" w:rsidR="009A7707" w:rsidRDefault="00F74408">
      <w:pPr>
        <w:numPr>
          <w:ilvl w:val="0"/>
          <w:numId w:val="4"/>
        </w:num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Сохранение положительного естественн</w:t>
      </w:r>
      <w:r>
        <w:rPr>
          <w:sz w:val="28"/>
          <w:szCs w:val="28"/>
        </w:rPr>
        <w:t xml:space="preserve">ого прироста населения, особенно в северных автономных округах. 2. Продолжение миграционного </w:t>
      </w:r>
      <w:r>
        <w:rPr>
          <w:sz w:val="28"/>
          <w:szCs w:val="28"/>
        </w:rPr>
        <w:lastRenderedPageBreak/>
        <w:t>притока. 3. Усиление урбанизации с концентрацией населения в крупных городах. 4. Сохранение региональной дифференциации между югом области и автономными округами.</w:t>
      </w:r>
    </w:p>
    <w:p w14:paraId="52F8A1D7" w14:textId="5A6AC44B" w:rsidR="00FF6D3E" w:rsidRDefault="00F74408" w:rsidP="00FF6D3E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F6D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Различия в качестве жизни как условие демографического и миграционного поведения населения Саратовской и Тюменской областей</w:t>
      </w:r>
      <w:r w:rsidR="00FF6D3E">
        <w:rPr>
          <w:b/>
          <w:bCs/>
          <w:sz w:val="28"/>
          <w:szCs w:val="28"/>
        </w:rPr>
        <w:t xml:space="preserve">. </w:t>
      </w:r>
      <w:r>
        <w:rPr>
          <w:sz w:val="28"/>
          <w:szCs w:val="28"/>
        </w:rPr>
        <w:t>В Саратовской области численность населения стремительно сокращается.</w:t>
      </w:r>
      <w:r w:rsidR="00FF6D3E">
        <w:rPr>
          <w:b/>
          <w:bCs/>
          <w:sz w:val="28"/>
          <w:szCs w:val="28"/>
        </w:rPr>
        <w:t xml:space="preserve"> </w:t>
      </w:r>
    </w:p>
    <w:p w14:paraId="149F6F5F" w14:textId="7645130C" w:rsidR="009A7707" w:rsidRPr="00FF6D3E" w:rsidRDefault="00F74408" w:rsidP="00FF6D3E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Плюсы: снижение нагрузки на социальную инфраструктуру, сниж</w:t>
      </w:r>
      <w:r>
        <w:rPr>
          <w:sz w:val="28"/>
          <w:szCs w:val="28"/>
        </w:rPr>
        <w:t>ение конкуренции за рабочие места и ресурсы.</w:t>
      </w:r>
    </w:p>
    <w:p w14:paraId="127B0A71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Минусы: нехватка рабочей силы, углубление проблемы наполнения налоговой базы, затруднение финансирования социальных программ, миграционный отток молодежи и квалифицированных специалистов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снижени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рождаемости и ускоренно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старени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населения.</w:t>
      </w:r>
    </w:p>
    <w:p w14:paraId="4452C6E5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Тюменской области наблюдается увеличение численности населения.</w:t>
      </w:r>
    </w:p>
    <w:p w14:paraId="0291A906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Плюсы: рост и развитие рынка труда, увеличение потребительского спроса, приток инвестиций, снижение риска депопуляции.</w:t>
      </w:r>
    </w:p>
    <w:p w14:paraId="73269691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Минусы: дефицит жилья и вы</w:t>
      </w:r>
      <w:r>
        <w:rPr>
          <w:sz w:val="28"/>
          <w:szCs w:val="28"/>
        </w:rPr>
        <w:t>сокие цены на недвижимость, очереди в больницы, школы, детские сады, конкуренция за рабочие места, риски роста преступности и конфликтов между местными жителями и мигрантами.</w:t>
      </w:r>
    </w:p>
    <w:p w14:paraId="4509394B" w14:textId="5FC21025" w:rsid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Прослеживается корреляционная зависимость: чем выше уровень естественного прирост</w:t>
      </w:r>
      <w:r>
        <w:rPr>
          <w:sz w:val="28"/>
          <w:szCs w:val="28"/>
        </w:rPr>
        <w:t xml:space="preserve">а, тем выше показатель душевого ВРП. В Саратовской области ВРП на душу населения – </w:t>
      </w:r>
      <w:r w:rsidRPr="009B4049">
        <w:rPr>
          <w:sz w:val="28"/>
          <w:szCs w:val="28"/>
        </w:rPr>
        <w:t>645</w:t>
      </w:r>
      <w:r>
        <w:rPr>
          <w:sz w:val="28"/>
          <w:szCs w:val="28"/>
        </w:rPr>
        <w:t>,8 тыс. руб., естественная убыль</w:t>
      </w:r>
      <w:r w:rsidRPr="009B4049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</w:t>
      </w:r>
      <w:r w:rsidR="006C37F4">
        <w:rPr>
          <w:sz w:val="28"/>
          <w:szCs w:val="28"/>
        </w:rPr>
        <w:t>мография... [Электронный ресурс], 2025</w:t>
      </w:r>
      <w:r w:rsidR="006C37F4">
        <w:rPr>
          <w:sz w:val="28"/>
          <w:szCs w:val="28"/>
        </w:rPr>
        <w:t>)</w:t>
      </w:r>
      <w:r>
        <w:rPr>
          <w:sz w:val="28"/>
          <w:szCs w:val="28"/>
        </w:rPr>
        <w:t>. В Тюменской области (без ХМАО и ЯНАО) ВРП на душу – 1,07 млн. руб. В ХМАО – 4,0 млн. руб., в ЯНАО – 10,5 млн. руб.</w:t>
      </w:r>
      <w:r w:rsidRPr="009B4049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Демографические показатели... [Электронный ресурс], 2025</w:t>
      </w:r>
      <w:r w:rsidR="006C37F4">
        <w:rPr>
          <w:sz w:val="28"/>
          <w:szCs w:val="28"/>
        </w:rPr>
        <w:t>)</w:t>
      </w:r>
      <w:r>
        <w:rPr>
          <w:sz w:val="28"/>
          <w:szCs w:val="28"/>
        </w:rPr>
        <w:t>, где естестве</w:t>
      </w:r>
      <w:r>
        <w:rPr>
          <w:sz w:val="28"/>
          <w:szCs w:val="28"/>
        </w:rPr>
        <w:t>нный прирост примерно в 1,5 раза выше.</w:t>
      </w:r>
    </w:p>
    <w:p w14:paraId="42892A43" w14:textId="523B20D5" w:rsidR="009A7707" w:rsidRPr="006C37F4" w:rsidRDefault="00F74408" w:rsidP="006C37F4">
      <w:pPr>
        <w:spacing w:line="360" w:lineRule="auto"/>
        <w:ind w:firstLine="708"/>
        <w:jc w:val="both"/>
        <w:rPr>
          <w:sz w:val="28"/>
          <w:szCs w:val="28"/>
        </w:rPr>
      </w:pPr>
      <w:r w:rsidRPr="006C37F4">
        <w:rPr>
          <w:sz w:val="28"/>
          <w:szCs w:val="28"/>
          <w:u w:val="single"/>
        </w:rPr>
        <w:t>Экономические различия</w:t>
      </w:r>
      <w:r w:rsidRPr="006C37F4">
        <w:rPr>
          <w:sz w:val="28"/>
          <w:szCs w:val="28"/>
        </w:rPr>
        <w:t xml:space="preserve"> носят фундаментальный характер. ВРП на душу населения в Тюменской области (4725734,1 руб.)</w:t>
      </w:r>
      <w:r w:rsidRPr="006C37F4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Демографические показатели... [Электронный ресурс], 2025</w:t>
      </w:r>
      <w:r w:rsidR="006C37F4">
        <w:rPr>
          <w:sz w:val="28"/>
          <w:szCs w:val="28"/>
        </w:rPr>
        <w:t>)</w:t>
      </w:r>
      <w:r w:rsidRPr="006C37F4">
        <w:rPr>
          <w:sz w:val="28"/>
          <w:szCs w:val="28"/>
        </w:rPr>
        <w:t xml:space="preserve"> более чем в 7 раз превышает показатель Саратовской области (645</w:t>
      </w:r>
      <w:r w:rsidRPr="006C37F4">
        <w:rPr>
          <w:sz w:val="28"/>
          <w:szCs w:val="28"/>
        </w:rPr>
        <w:t xml:space="preserve"> </w:t>
      </w:r>
      <w:r w:rsidRPr="006C37F4">
        <w:rPr>
          <w:sz w:val="28"/>
          <w:szCs w:val="28"/>
        </w:rPr>
        <w:t>768,2 руб.)</w:t>
      </w:r>
      <w:r w:rsidRPr="006C37F4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</w:t>
      </w:r>
      <w:r w:rsidR="006C37F4">
        <w:rPr>
          <w:sz w:val="28"/>
          <w:szCs w:val="28"/>
        </w:rPr>
        <w:t>мография... [Электронный ресурс], 2025</w:t>
      </w:r>
      <w:r w:rsidR="006C37F4">
        <w:rPr>
          <w:sz w:val="28"/>
          <w:szCs w:val="28"/>
        </w:rPr>
        <w:t>)</w:t>
      </w:r>
      <w:r w:rsidRPr="006C37F4">
        <w:rPr>
          <w:sz w:val="28"/>
          <w:szCs w:val="28"/>
        </w:rPr>
        <w:t>. Среднемесячная зар</w:t>
      </w:r>
      <w:r w:rsidRPr="006C37F4">
        <w:rPr>
          <w:sz w:val="28"/>
          <w:szCs w:val="28"/>
        </w:rPr>
        <w:t xml:space="preserve">плата в Тюменской области (121 906,6 руб.) </w:t>
      </w:r>
      <w:r w:rsidRPr="006C37F4">
        <w:rPr>
          <w:sz w:val="28"/>
          <w:szCs w:val="28"/>
        </w:rPr>
        <w:lastRenderedPageBreak/>
        <w:t>существенно выше, чем в Саратовской (58 626 руб.). Доля населения с доходами ниже прожиточного минимума в Тюменской области – 8,3% против 10,7% в Саратовской. Уровень безработицы – 1,3% против 1,8% соответственно.</w:t>
      </w:r>
      <w:r w:rsidRPr="006C37F4">
        <w:rPr>
          <w:sz w:val="28"/>
          <w:szCs w:val="28"/>
        </w:rPr>
        <w:t xml:space="preserve"> И только средняя обеспеченность жильем в Саратовской области выше (32,3 кв. м на человека) против 26,2 кв. м в Тюменской</w:t>
      </w:r>
      <w:r w:rsidR="00094761" w:rsidRPr="006C37F4">
        <w:rPr>
          <w:sz w:val="28"/>
          <w:szCs w:val="28"/>
        </w:rPr>
        <w:t xml:space="preserve"> (</w:t>
      </w:r>
      <w:r w:rsidR="00094761" w:rsidRPr="006C37F4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6C37F4">
        <w:rPr>
          <w:sz w:val="28"/>
          <w:szCs w:val="28"/>
        </w:rPr>
        <w:t>)</w:t>
      </w:r>
      <w:r w:rsidRPr="006C37F4">
        <w:rPr>
          <w:sz w:val="28"/>
          <w:szCs w:val="28"/>
        </w:rPr>
        <w:t>.</w:t>
      </w:r>
    </w:p>
    <w:p w14:paraId="4F3BB6AA" w14:textId="70511173" w:rsidR="00094761" w:rsidRDefault="00F74408" w:rsidP="006C37F4">
      <w:pPr>
        <w:pStyle w:val="a7"/>
        <w:numPr>
          <w:ilvl w:val="0"/>
          <w:numId w:val="8"/>
        </w:numPr>
        <w:tabs>
          <w:tab w:val="left" w:pos="1456"/>
        </w:tabs>
        <w:spacing w:line="360" w:lineRule="auto"/>
        <w:ind w:right="137" w:firstLine="70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Д</w:t>
      </w:r>
      <w:r>
        <w:rPr>
          <w:sz w:val="28"/>
          <w:szCs w:val="28"/>
          <w:u w:val="single"/>
        </w:rPr>
        <w:t>емографические показатели</w:t>
      </w:r>
      <w:r>
        <w:rPr>
          <w:sz w:val="28"/>
          <w:szCs w:val="28"/>
        </w:rPr>
        <w:t>: рождаемость – 11‰ против 6,3‰, смертность – 7,6‰ против 14,2‰, естественный прирост – 3,4‰</w:t>
      </w:r>
      <w:r w:rsidRPr="009B4049">
        <w:rPr>
          <w:sz w:val="28"/>
          <w:szCs w:val="28"/>
        </w:rPr>
        <w:t xml:space="preserve"> </w:t>
      </w:r>
      <w:r w:rsidR="006C37F4">
        <w:rPr>
          <w:sz w:val="28"/>
          <w:szCs w:val="28"/>
        </w:rPr>
        <w:t>(</w:t>
      </w:r>
      <w:r w:rsidR="006C37F4">
        <w:rPr>
          <w:sz w:val="28"/>
        </w:rPr>
        <w:t>Демографические показатели... [Электронный ресурс], 2025</w:t>
      </w:r>
      <w:r w:rsidR="006C37F4">
        <w:rPr>
          <w:sz w:val="28"/>
          <w:szCs w:val="28"/>
        </w:rPr>
        <w:t>)</w:t>
      </w:r>
      <w:r>
        <w:rPr>
          <w:sz w:val="28"/>
          <w:szCs w:val="28"/>
        </w:rPr>
        <w:t xml:space="preserve"> против</w:t>
      </w:r>
      <w:r>
        <w:rPr>
          <w:sz w:val="28"/>
          <w:szCs w:val="28"/>
        </w:rPr>
        <w:t xml:space="preserve"> убыли -7,0‰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</w:rPr>
        <w:t>Де</w:t>
      </w:r>
      <w:r w:rsidR="00094761">
        <w:rPr>
          <w:sz w:val="28"/>
          <w:szCs w:val="28"/>
        </w:rPr>
        <w:t>мография... [Электронный ресурс], 2025</w:t>
      </w:r>
      <w:r w:rsidR="00094761">
        <w:rPr>
          <w:sz w:val="28"/>
          <w:szCs w:val="28"/>
        </w:rPr>
        <w:t>)</w:t>
      </w:r>
      <w:r w:rsidR="00094761">
        <w:rPr>
          <w:sz w:val="28"/>
          <w:szCs w:val="28"/>
        </w:rPr>
        <w:t>.</w:t>
      </w:r>
    </w:p>
    <w:p w14:paraId="6A65ACDB" w14:textId="6EAF6632" w:rsidR="009A7707" w:rsidRPr="00094761" w:rsidRDefault="00F74408" w:rsidP="00094761">
      <w:pPr>
        <w:pStyle w:val="a7"/>
        <w:numPr>
          <w:ilvl w:val="0"/>
          <w:numId w:val="6"/>
        </w:numPr>
        <w:tabs>
          <w:tab w:val="left" w:pos="1496"/>
        </w:tabs>
        <w:spacing w:line="360" w:lineRule="auto"/>
        <w:ind w:right="138" w:firstLine="707"/>
        <w:jc w:val="both"/>
        <w:rPr>
          <w:sz w:val="28"/>
          <w:szCs w:val="28"/>
        </w:rPr>
      </w:pPr>
      <w:r>
        <w:rPr>
          <w:sz w:val="28"/>
          <w:szCs w:val="28"/>
        </w:rPr>
        <w:t>Уровень младенческой смертности сопоставим (3,4‰ и 3,5‰). ОПЖ мужчин – 70,1 лет против 68,21, женщин – 80,5 против 78,37 лет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094761">
        <w:rPr>
          <w:sz w:val="28"/>
          <w:szCs w:val="28"/>
        </w:rPr>
        <w:t>)</w:t>
      </w:r>
      <w:r w:rsidRPr="00094761">
        <w:rPr>
          <w:sz w:val="28"/>
          <w:szCs w:val="28"/>
        </w:rPr>
        <w:t>.</w:t>
      </w:r>
    </w:p>
    <w:p w14:paraId="207142B5" w14:textId="059E80CE" w:rsidR="009A7707" w:rsidRPr="00094761" w:rsidRDefault="00F74408" w:rsidP="00094761">
      <w:pPr>
        <w:pStyle w:val="a7"/>
        <w:numPr>
          <w:ilvl w:val="0"/>
          <w:numId w:val="6"/>
        </w:numPr>
        <w:tabs>
          <w:tab w:val="left" w:pos="1496"/>
        </w:tabs>
        <w:spacing w:line="360" w:lineRule="auto"/>
        <w:ind w:right="138" w:firstLine="70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</w:t>
      </w:r>
      <w:r>
        <w:rPr>
          <w:sz w:val="28"/>
          <w:szCs w:val="28"/>
          <w:u w:val="single"/>
        </w:rPr>
        <w:t>оциальные показатели</w:t>
      </w:r>
      <w:r>
        <w:rPr>
          <w:sz w:val="28"/>
          <w:szCs w:val="28"/>
        </w:rPr>
        <w:t>: доля трудоспособного населения – 59,2% против 57,9%. Обеспеченность врачами (на 10000</w:t>
      </w:r>
      <w:r>
        <w:rPr>
          <w:sz w:val="28"/>
          <w:szCs w:val="28"/>
        </w:rPr>
        <w:t>) – 60,8 против 50,8, средним медперсоналом – 127,7 против 102,6. Миграционный прирост – 6,9‰ против -1,2‰. Уровень преступности (148,2 случая на 10000 против 121,2)</w:t>
      </w:r>
      <w:r>
        <w:rPr>
          <w:sz w:val="28"/>
          <w:szCs w:val="28"/>
        </w:rPr>
        <w:t xml:space="preserve"> и ч</w:t>
      </w:r>
      <w:r>
        <w:rPr>
          <w:sz w:val="28"/>
          <w:szCs w:val="28"/>
        </w:rPr>
        <w:t>исло самоубийств в Тюменской области выше (409 случаев против 334)</w:t>
      </w:r>
      <w:r w:rsidRPr="009B4049">
        <w:rPr>
          <w:sz w:val="28"/>
          <w:szCs w:val="28"/>
        </w:rPr>
        <w:t xml:space="preserve"> </w:t>
      </w:r>
      <w:r w:rsidR="00094761">
        <w:rPr>
          <w:sz w:val="28"/>
          <w:szCs w:val="28"/>
        </w:rPr>
        <w:t>(</w:t>
      </w:r>
      <w:r w:rsidR="00094761">
        <w:rPr>
          <w:sz w:val="28"/>
          <w:szCs w:val="28"/>
        </w:rPr>
        <w:t>Статистическая отчетность онлайн... [Электронный ресурс], 2025</w:t>
      </w:r>
      <w:r w:rsidR="00094761" w:rsidRPr="00094761">
        <w:rPr>
          <w:sz w:val="28"/>
          <w:szCs w:val="28"/>
        </w:rPr>
        <w:t>)</w:t>
      </w:r>
      <w:r w:rsidRPr="00094761">
        <w:rPr>
          <w:sz w:val="28"/>
          <w:szCs w:val="28"/>
        </w:rPr>
        <w:t>.</w:t>
      </w:r>
    </w:p>
    <w:p w14:paraId="5629AFD9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Э</w:t>
      </w:r>
      <w:r>
        <w:rPr>
          <w:sz w:val="28"/>
          <w:szCs w:val="28"/>
          <w:u w:val="single"/>
        </w:rPr>
        <w:t>кологические ф</w:t>
      </w:r>
      <w:r>
        <w:rPr>
          <w:sz w:val="28"/>
          <w:szCs w:val="28"/>
          <w:u w:val="single"/>
        </w:rPr>
        <w:t>акторы</w:t>
      </w:r>
      <w:r>
        <w:rPr>
          <w:sz w:val="28"/>
          <w:szCs w:val="28"/>
        </w:rPr>
        <w:t>: площадь ООПТ – 12594,6 тыс. га (8,6% территории) против 184 тыс. га (1,8%). Выбросы от стационарных источников – 2400 тыс. т против 141,9 тыс. т. Выбросы от автотранспорта – 47,3 тыс. т против 145,4 тыс. т.</w:t>
      </w:r>
    </w:p>
    <w:p w14:paraId="6DBBD8DD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Проведен социологический опрос по выборке</w:t>
      </w:r>
      <w:r>
        <w:rPr>
          <w:sz w:val="28"/>
          <w:szCs w:val="28"/>
        </w:rPr>
        <w:t xml:space="preserve"> из 207 человек: 105 – респонденты Саратовской области, 102 - Тюменской области. По опросу в обоих регионах среди отвечавших преобладает молодежь в возрасте от 18 до 35 лет. При этом в Тюменской области выше доля мигрантов из других регионов России (23,5% </w:t>
      </w:r>
      <w:r>
        <w:rPr>
          <w:sz w:val="28"/>
          <w:szCs w:val="28"/>
        </w:rPr>
        <w:t>против 16,2%). В Саратовской области больше родившихся в другом городе этого же региона (32,4%), что говорит о развитом тренде внутренней мобильности.</w:t>
      </w:r>
    </w:p>
    <w:p w14:paraId="20A4B7B6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Связь с малой родиной сильнее у жителей Тюменской области: 37,3% глубоко привязаны и не хотят </w:t>
      </w:r>
      <w:r>
        <w:rPr>
          <w:sz w:val="28"/>
          <w:szCs w:val="28"/>
        </w:rPr>
        <w:t>уезжать против 16,2% в Саратовской. В Саратовской преобладает установка «люблю область, но могу уехать при необходимости» (50,5%).</w:t>
      </w:r>
    </w:p>
    <w:p w14:paraId="2E693B73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Субъективные оценки качества жизни</w:t>
      </w:r>
      <w:r>
        <w:rPr>
          <w:sz w:val="28"/>
          <w:szCs w:val="28"/>
        </w:rPr>
        <w:t>: в Тюменской области 72,6% оценили качество жизни на «4» и «5», в Саратовской – лишь 49,7%</w:t>
      </w:r>
      <w:r>
        <w:rPr>
          <w:sz w:val="28"/>
          <w:szCs w:val="28"/>
        </w:rPr>
        <w:t xml:space="preserve"> (40,9% поставили «3»). Жители Тюменской области чаще ставят высокие оценки по большинству показателей (образование – 49%, транспорт и благоустройство – по 41,2%, здравоохранение – 40,2%). В Саратовской области чаще ставят «удовлетворительно» по здравоохра</w:t>
      </w:r>
      <w:r>
        <w:rPr>
          <w:sz w:val="28"/>
          <w:szCs w:val="28"/>
        </w:rPr>
        <w:t>нению (51,4%), транспорту (46,7%) и культуре (37,1%).</w:t>
      </w:r>
    </w:p>
    <w:p w14:paraId="44972F32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проблемы в Саратовской области: низкий уровень зарплат (33,2%), недостаток рабочих мест (24,3%), экологические проблемы (15,8%). В Тюменской области: низкий уровень зарплат (23,9%), недостаток </w:t>
      </w:r>
      <w:r>
        <w:rPr>
          <w:sz w:val="28"/>
          <w:szCs w:val="28"/>
        </w:rPr>
        <w:t>рабочих мест (16,7%), плохое состояние ЖКХ (11,8%).</w:t>
      </w:r>
    </w:p>
    <w:p w14:paraId="4E516BE3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Тюменской области выше доля респондентов в зарегистрированном браке (40,2% против 31,4%). Идеальное количество детей – двое. В Саратовской области разрыв между идеалом (77,1% считают 2-3 детей идеалом) </w:t>
      </w:r>
      <w:r>
        <w:rPr>
          <w:sz w:val="28"/>
          <w:szCs w:val="28"/>
        </w:rPr>
        <w:t xml:space="preserve">и </w:t>
      </w:r>
      <w:r>
        <w:rPr>
          <w:sz w:val="28"/>
          <w:szCs w:val="28"/>
        </w:rPr>
        <w:t>планами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(48,6%) более выражен, чем в Тюменской (86,3% считают идеалом, 64,7% планируют). Главные сдерживающие факторы: материальные трудности, нестабильность, карьерные цели.</w:t>
      </w:r>
    </w:p>
    <w:p w14:paraId="5AF62DF6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Миграционные настроения: в Саратовской области 65,7% задумывались о переезде (о</w:t>
      </w:r>
      <w:r>
        <w:rPr>
          <w:sz w:val="28"/>
          <w:szCs w:val="28"/>
        </w:rPr>
        <w:t>сновные причины – поиск более высокооплачиваемой работы – 27,2% и карьерный рост – 12,9%). Чтобы остановить отток, необходимо повышение зарплат (35,2%), доступное жилье (22,8%), создание рабочих мест (20%).</w:t>
      </w:r>
    </w:p>
    <w:p w14:paraId="2DC69286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Тюменской области 58,8% задумывались о переезде</w:t>
      </w:r>
      <w:r>
        <w:rPr>
          <w:sz w:val="28"/>
          <w:szCs w:val="28"/>
        </w:rPr>
        <w:t xml:space="preserve"> (но 37,3% лишь иногда, активно планируют – 21,6%). Причины схожи, но выделяются политическая нестабильность (11,1%) и суровый климат (2,3%). Для закрепления мигрантов нужны: рабочие места с достойной зарплатой (24,5%), доступное жилье (20,6%), развитие </w:t>
      </w:r>
      <w:proofErr w:type="spellStart"/>
      <w:r>
        <w:rPr>
          <w:sz w:val="28"/>
          <w:szCs w:val="28"/>
        </w:rPr>
        <w:t>со</w:t>
      </w:r>
      <w:r>
        <w:rPr>
          <w:sz w:val="28"/>
          <w:szCs w:val="28"/>
        </w:rPr>
        <w:t>цинфраструктуры</w:t>
      </w:r>
      <w:proofErr w:type="spellEnd"/>
      <w:r>
        <w:rPr>
          <w:sz w:val="28"/>
          <w:szCs w:val="28"/>
        </w:rPr>
        <w:t xml:space="preserve"> (14,7%). Внутри Тюменской области </w:t>
      </w:r>
      <w:r>
        <w:rPr>
          <w:sz w:val="28"/>
          <w:szCs w:val="28"/>
        </w:rPr>
        <w:lastRenderedPageBreak/>
        <w:t>существует разделение на «север» (ХМАО/ЯНАО) и «юг» (Тюмень): 54% считают, что качество жизни существенно различается.</w:t>
      </w:r>
    </w:p>
    <w:p w14:paraId="76A21FE7" w14:textId="77777777" w:rsidR="009A7707" w:rsidRDefault="00F7440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Желаемые направления для переезда: в Саратовской области – юг России (20%) и Москва/СПб</w:t>
      </w:r>
      <w:r>
        <w:rPr>
          <w:sz w:val="28"/>
          <w:szCs w:val="28"/>
        </w:rPr>
        <w:t xml:space="preserve"> (18%), 20,9% не определились. В Тюменской – другая страна (23,5%), 20,5% не определились, Москва/СПб и другие города-миллионеры (по 16,7%).</w:t>
      </w:r>
    </w:p>
    <w:p w14:paraId="3D26CA7C" w14:textId="336FF9A9" w:rsidR="009A7707" w:rsidRDefault="00F744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оценке будущего: в Тюменской области 51% считают, что регион станет привлекательнее; в Саратовской преобладает ож</w:t>
      </w:r>
      <w:r>
        <w:rPr>
          <w:sz w:val="28"/>
          <w:szCs w:val="28"/>
        </w:rPr>
        <w:t xml:space="preserve">идание стагнации (48,6%) или ухудшения (31,4%). Доверие к властям выше в Тюменской области (24,5% скорее согласны с эффективностью решения демографических проблем). В Саратовском регионе </w:t>
      </w:r>
      <w:r>
        <w:rPr>
          <w:sz w:val="28"/>
          <w:szCs w:val="28"/>
        </w:rPr>
        <w:t>преобладает недоверие (30,5% скорее не согласны).</w:t>
      </w:r>
    </w:p>
    <w:p w14:paraId="59E3EAB2" w14:textId="77777777" w:rsidR="009A7707" w:rsidRDefault="00F7440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>
        <w:rPr>
          <w:b/>
          <w:spacing w:val="-2"/>
          <w:sz w:val="28"/>
          <w:szCs w:val="28"/>
        </w:rPr>
        <w:t xml:space="preserve">аключение. </w:t>
      </w:r>
      <w:r>
        <w:rPr>
          <w:sz w:val="28"/>
          <w:szCs w:val="28"/>
        </w:rPr>
        <w:t xml:space="preserve">В результате проведенного исследования были сделаны следующие </w:t>
      </w:r>
      <w:r>
        <w:rPr>
          <w:spacing w:val="-2"/>
          <w:sz w:val="28"/>
          <w:szCs w:val="28"/>
        </w:rPr>
        <w:t>выводы:</w:t>
      </w:r>
    </w:p>
    <w:p w14:paraId="256F40F0" w14:textId="77777777" w:rsidR="009A7707" w:rsidRDefault="00F74408">
      <w:pPr>
        <w:pStyle w:val="a7"/>
        <w:numPr>
          <w:ilvl w:val="0"/>
          <w:numId w:val="5"/>
        </w:numPr>
        <w:tabs>
          <w:tab w:val="left" w:pos="1270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Демографическая ситуация – это состояние статической оценки демографических процессов и структуры населения в определенный момент или период времени, которая обычно рассматривается приме</w:t>
      </w:r>
      <w:r>
        <w:rPr>
          <w:sz w:val="28"/>
          <w:szCs w:val="28"/>
        </w:rPr>
        <w:t>нительно к стране</w:t>
      </w:r>
      <w:r>
        <w:rPr>
          <w:sz w:val="28"/>
        </w:rPr>
        <w:t xml:space="preserve"> в целом или ее отдельным частям. Качество жизни – это уровень развития и степень удовлетворения всего комплекса потребностей и интересов людей. Качество жизни имеет две стороны: объективную и субъективную, которые непосредственно влияют н</w:t>
      </w:r>
      <w:r>
        <w:rPr>
          <w:sz w:val="28"/>
        </w:rPr>
        <w:t xml:space="preserve">а демографическую ситуацию в любом регионе </w:t>
      </w:r>
      <w:r>
        <w:rPr>
          <w:spacing w:val="-2"/>
          <w:sz w:val="28"/>
        </w:rPr>
        <w:t>России.</w:t>
      </w:r>
    </w:p>
    <w:p w14:paraId="5A3F2EAC" w14:textId="77777777" w:rsidR="009A7707" w:rsidRDefault="00F74408">
      <w:pPr>
        <w:pStyle w:val="a7"/>
        <w:numPr>
          <w:ilvl w:val="0"/>
          <w:numId w:val="5"/>
        </w:numPr>
        <w:tabs>
          <w:tab w:val="left" w:pos="1155"/>
        </w:tabs>
        <w:spacing w:line="362" w:lineRule="auto"/>
        <w:ind w:right="147" w:firstLine="707"/>
        <w:jc w:val="both"/>
        <w:rPr>
          <w:sz w:val="28"/>
        </w:rPr>
      </w:pPr>
      <w:r>
        <w:rPr>
          <w:sz w:val="28"/>
        </w:rPr>
        <w:t>Наиболее значимыми демографическими процессами для Саратовской области выступают:</w:t>
      </w:r>
    </w:p>
    <w:p w14:paraId="7739DBC7" w14:textId="77777777" w:rsidR="009A7707" w:rsidRDefault="00F74408">
      <w:pPr>
        <w:pStyle w:val="a7"/>
        <w:numPr>
          <w:ilvl w:val="1"/>
          <w:numId w:val="5"/>
        </w:numPr>
        <w:tabs>
          <w:tab w:val="left" w:pos="1067"/>
        </w:tabs>
        <w:spacing w:line="360" w:lineRule="auto"/>
        <w:ind w:right="137" w:firstLine="707"/>
        <w:rPr>
          <w:sz w:val="28"/>
        </w:rPr>
      </w:pPr>
      <w:r>
        <w:rPr>
          <w:sz w:val="28"/>
        </w:rPr>
        <w:t>Естественная убыль населения на фоне низкого уровня рождаемости, смертности, миграционного прироста.</w:t>
      </w:r>
    </w:p>
    <w:p w14:paraId="4A53C7BC" w14:textId="77777777" w:rsidR="009A7707" w:rsidRDefault="00F74408">
      <w:pPr>
        <w:pStyle w:val="a7"/>
        <w:numPr>
          <w:ilvl w:val="1"/>
          <w:numId w:val="5"/>
        </w:numPr>
        <w:tabs>
          <w:tab w:val="left" w:pos="1089"/>
        </w:tabs>
        <w:spacing w:line="360" w:lineRule="auto"/>
        <w:ind w:right="147" w:firstLine="707"/>
        <w:rPr>
          <w:sz w:val="28"/>
        </w:rPr>
      </w:pPr>
      <w:r>
        <w:rPr>
          <w:sz w:val="28"/>
        </w:rPr>
        <w:t>Миграционный прирост в</w:t>
      </w:r>
      <w:r>
        <w:rPr>
          <w:sz w:val="28"/>
        </w:rPr>
        <w:t xml:space="preserve"> целом находится на низком уровне, но в последние годы увеличивается. </w:t>
      </w:r>
      <w:proofErr w:type="spellStart"/>
      <w:r>
        <w:rPr>
          <w:sz w:val="28"/>
        </w:rPr>
        <w:t>Трудоресурсный</w:t>
      </w:r>
      <w:proofErr w:type="spellEnd"/>
      <w:r>
        <w:rPr>
          <w:sz w:val="28"/>
        </w:rPr>
        <w:t xml:space="preserve"> потенциал области в прогнозном периоде будет испытывать значимый дефицит рабочих кадров и специалистов, что негативно отразится на развитии отраслей экономики.</w:t>
      </w:r>
    </w:p>
    <w:p w14:paraId="2C356D30" w14:textId="77777777" w:rsidR="006C37F4" w:rsidRDefault="00F74408" w:rsidP="006C37F4">
      <w:pPr>
        <w:pStyle w:val="a4"/>
        <w:spacing w:line="360" w:lineRule="auto"/>
        <w:ind w:left="143" w:right="148" w:firstLine="707"/>
        <w:jc w:val="both"/>
      </w:pPr>
      <w:r>
        <w:t>Наиболее зн</w:t>
      </w:r>
      <w:r>
        <w:t>ачимыми демографическими процессами для Тюменской области выступают:</w:t>
      </w:r>
    </w:p>
    <w:p w14:paraId="4E26BE76" w14:textId="77777777" w:rsidR="006C37F4" w:rsidRDefault="006C37F4" w:rsidP="006C37F4">
      <w:pPr>
        <w:pStyle w:val="a4"/>
        <w:spacing w:line="360" w:lineRule="auto"/>
        <w:ind w:left="143" w:right="148" w:firstLine="707"/>
        <w:jc w:val="both"/>
      </w:pPr>
      <w:r>
        <w:lastRenderedPageBreak/>
        <w:t xml:space="preserve">1. </w:t>
      </w:r>
      <w:r w:rsidR="00F74408" w:rsidRPr="006C37F4">
        <w:t>Естественный прирост населения за счет увеличения рождаемости в ХМАО – Югре и ЯНАО.</w:t>
      </w:r>
    </w:p>
    <w:p w14:paraId="30ABA759" w14:textId="77AA2C0B" w:rsidR="009A7707" w:rsidRPr="006C37F4" w:rsidRDefault="006C37F4" w:rsidP="006C37F4">
      <w:pPr>
        <w:pStyle w:val="a4"/>
        <w:spacing w:line="360" w:lineRule="auto"/>
        <w:ind w:left="143" w:right="148" w:firstLine="707"/>
        <w:jc w:val="both"/>
      </w:pPr>
      <w:r>
        <w:t xml:space="preserve">2. </w:t>
      </w:r>
      <w:r w:rsidR="00F74408" w:rsidRPr="006C37F4">
        <w:t xml:space="preserve">Миграционный прирост за счет южной части Тюменской области. Сложившаяся ситуация </w:t>
      </w:r>
      <w:r w:rsidR="00F74408" w:rsidRPr="006C37F4">
        <w:t>способствует росту и развитию рынка труда, увеличению количества рабочих мест для нефтегазовой отрасли, логистики, строительства и других отраслей.</w:t>
      </w:r>
    </w:p>
    <w:p w14:paraId="59F5E225" w14:textId="77777777" w:rsidR="009A7707" w:rsidRDefault="00F74408">
      <w:pPr>
        <w:pStyle w:val="a7"/>
        <w:numPr>
          <w:ilvl w:val="0"/>
          <w:numId w:val="5"/>
        </w:numPr>
        <w:tabs>
          <w:tab w:val="left" w:pos="1129"/>
        </w:tabs>
        <w:spacing w:line="360" w:lineRule="auto"/>
        <w:ind w:right="138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зависимость: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выше уровень</w:t>
      </w:r>
      <w:r>
        <w:rPr>
          <w:spacing w:val="80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прироста,</w:t>
      </w:r>
      <w:r>
        <w:rPr>
          <w:spacing w:val="80"/>
          <w:sz w:val="28"/>
        </w:rPr>
        <w:t xml:space="preserve"> </w:t>
      </w:r>
      <w:r>
        <w:rPr>
          <w:sz w:val="28"/>
        </w:rPr>
        <w:t>тем</w:t>
      </w:r>
      <w:r>
        <w:rPr>
          <w:spacing w:val="80"/>
          <w:sz w:val="28"/>
        </w:rPr>
        <w:t xml:space="preserve"> </w:t>
      </w:r>
      <w:r>
        <w:rPr>
          <w:sz w:val="28"/>
        </w:rPr>
        <w:t>выше</w:t>
      </w:r>
      <w:r>
        <w:rPr>
          <w:spacing w:val="8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80"/>
          <w:sz w:val="28"/>
        </w:rPr>
        <w:t xml:space="preserve"> </w:t>
      </w:r>
      <w:r>
        <w:rPr>
          <w:sz w:val="28"/>
        </w:rPr>
        <w:t>душевого</w:t>
      </w:r>
      <w:r>
        <w:rPr>
          <w:spacing w:val="80"/>
          <w:sz w:val="28"/>
        </w:rPr>
        <w:t xml:space="preserve"> </w:t>
      </w:r>
      <w:r>
        <w:rPr>
          <w:sz w:val="28"/>
        </w:rPr>
        <w:t>валового</w:t>
      </w:r>
    </w:p>
    <w:p w14:paraId="054BE7D7" w14:textId="77777777" w:rsidR="009A7707" w:rsidRDefault="00F74408">
      <w:pPr>
        <w:pStyle w:val="a4"/>
        <w:spacing w:before="67" w:line="360" w:lineRule="auto"/>
        <w:ind w:left="143" w:right="143"/>
        <w:jc w:val="both"/>
      </w:pPr>
      <w:r>
        <w:t>регионального продукта (ВРП) в регионе. Саратовская область выделяется неблагоприятной демографической ситуацией, она же имеет низкий уровень ВРП. В то же время ЯНАО характеризуется благоприятной демографической ситуацией с од</w:t>
      </w:r>
      <w:r>
        <w:t>ним из самых высоких уровней душевых ВРП в России.</w:t>
      </w:r>
    </w:p>
    <w:p w14:paraId="28AFC87C" w14:textId="77777777" w:rsidR="009A7707" w:rsidRDefault="00F74408">
      <w:pPr>
        <w:pStyle w:val="a7"/>
        <w:numPr>
          <w:ilvl w:val="0"/>
          <w:numId w:val="5"/>
        </w:numPr>
        <w:tabs>
          <w:tab w:val="left" w:pos="1183"/>
        </w:tabs>
        <w:spacing w:before="1" w:line="360" w:lineRule="auto"/>
        <w:ind w:right="144" w:firstLine="707"/>
        <w:jc w:val="both"/>
        <w:rPr>
          <w:sz w:val="28"/>
          <w:szCs w:val="28"/>
        </w:rPr>
      </w:pPr>
      <w:r>
        <w:rPr>
          <w:sz w:val="28"/>
        </w:rPr>
        <w:t>Тюменская область существенно опережает Саратовскую по многим экономическим, демографическим, социальным и экологическим показателям. Нефтегазовый сектор обеспечивает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</w:t>
      </w:r>
      <w:r>
        <w:rPr>
          <w:sz w:val="28"/>
        </w:rPr>
        <w:t>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стабильности,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сочетании с благоприятной демографической ситуацией напрямую формирует значительно более высокое качество жизни населения. </w:t>
      </w:r>
      <w:r>
        <w:rPr>
          <w:sz w:val="28"/>
          <w:szCs w:val="28"/>
        </w:rPr>
        <w:t>В свою очередь, Саратовская область сталкивается с вызовами экономической диверсификации и демографического старения, что определяе</w:t>
      </w:r>
      <w:r>
        <w:rPr>
          <w:sz w:val="28"/>
          <w:szCs w:val="28"/>
        </w:rPr>
        <w:t>т отставание в качестве жизни.</w:t>
      </w:r>
    </w:p>
    <w:p w14:paraId="699EE829" w14:textId="77777777" w:rsidR="009A7707" w:rsidRDefault="00F74408">
      <w:pPr>
        <w:pStyle w:val="a7"/>
        <w:numPr>
          <w:ilvl w:val="0"/>
          <w:numId w:val="5"/>
        </w:numPr>
        <w:tabs>
          <w:tab w:val="left" w:pos="1306"/>
        </w:tabs>
        <w:spacing w:line="360" w:lineRule="auto"/>
        <w:ind w:right="134" w:firstLine="707"/>
        <w:jc w:val="both"/>
        <w:rPr>
          <w:sz w:val="28"/>
        </w:rPr>
      </w:pPr>
      <w:r>
        <w:rPr>
          <w:sz w:val="28"/>
        </w:rPr>
        <w:t>Более благоприятная ситуация в Тюменской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характеризующейся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формирует рациональный тип миграции и оптимистичные установки населения. Саратовская область демонстрирует кризисную модель с домини</w:t>
      </w:r>
      <w:r>
        <w:rPr>
          <w:sz w:val="28"/>
        </w:rPr>
        <w:t>рованием тревожных ожиданий и высоким оттоком населения.</w:t>
      </w:r>
    </w:p>
    <w:p w14:paraId="11F389A2" w14:textId="77777777" w:rsidR="009A7707" w:rsidRDefault="00F74408">
      <w:pPr>
        <w:pStyle w:val="a4"/>
        <w:spacing w:before="1" w:line="360" w:lineRule="auto"/>
        <w:ind w:left="143" w:right="146" w:firstLine="707"/>
        <w:jc w:val="both"/>
      </w:pPr>
      <w:r>
        <w:t>Таким образом, демографическое благополучие региона является прямой функцией его способности создавать конкурентоспособную экономическую среду и условия для реализации человеческого капитала, что нап</w:t>
      </w:r>
      <w:r>
        <w:t>рямую влияет на репродуктивные планы и миграционную лояльность граждан.</w:t>
      </w:r>
    </w:p>
    <w:sectPr w:rsidR="009A7707">
      <w:pgSz w:w="11906" w:h="16838"/>
      <w:pgMar w:top="1037" w:right="706" w:bottom="1195" w:left="128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1638" w14:textId="77777777" w:rsidR="00F74408" w:rsidRDefault="00F74408">
      <w:r>
        <w:separator/>
      </w:r>
    </w:p>
  </w:endnote>
  <w:endnote w:type="continuationSeparator" w:id="0">
    <w:p w14:paraId="728E178F" w14:textId="77777777" w:rsidR="00F74408" w:rsidRDefault="00F7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4261915"/>
      <w:docPartObj>
        <w:docPartGallery w:val="Page Numbers (Bottom of Page)"/>
        <w:docPartUnique/>
      </w:docPartObj>
    </w:sdtPr>
    <w:sdtContent>
      <w:p w14:paraId="02806CB9" w14:textId="51BD06C7" w:rsidR="006C37F4" w:rsidRDefault="006C37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D9ED8" w14:textId="0D474721" w:rsidR="009A7707" w:rsidRDefault="009A77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79FE4" w14:textId="77777777" w:rsidR="00F74408" w:rsidRDefault="00F74408">
      <w:r>
        <w:separator/>
      </w:r>
    </w:p>
  </w:footnote>
  <w:footnote w:type="continuationSeparator" w:id="0">
    <w:p w14:paraId="05F1A7FE" w14:textId="77777777" w:rsidR="00F74408" w:rsidRDefault="00F74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A3B3E"/>
    <w:multiLevelType w:val="singleLevel"/>
    <w:tmpl w:val="923A3B3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5"/>
        <w:szCs w:val="15"/>
      </w:rPr>
    </w:lvl>
  </w:abstractNum>
  <w:abstractNum w:abstractNumId="1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43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4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1F6801E0"/>
    <w:multiLevelType w:val="multilevel"/>
    <w:tmpl w:val="25B654F3"/>
    <w:lvl w:ilvl="0">
      <w:start w:val="1"/>
      <w:numFmt w:val="decimal"/>
      <w:lvlText w:val="%1."/>
      <w:lvlJc w:val="left"/>
      <w:pPr>
        <w:ind w:left="14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3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57"/>
      </w:pPr>
      <w:rPr>
        <w:rFonts w:hint="default"/>
        <w:lang w:val="ru-RU" w:eastAsia="en-US" w:bidi="ar-SA"/>
      </w:rPr>
    </w:lvl>
  </w:abstractNum>
  <w:abstractNum w:abstractNumId="4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14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3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57"/>
      </w:pPr>
      <w:rPr>
        <w:rFonts w:hint="default"/>
        <w:lang w:val="ru-RU" w:eastAsia="en-US" w:bidi="ar-SA"/>
      </w:rPr>
    </w:lvl>
  </w:abstractNum>
  <w:abstractNum w:abstractNumId="5" w15:restartNumberingAfterBreak="0">
    <w:nsid w:val="26361789"/>
    <w:multiLevelType w:val="multilevel"/>
    <w:tmpl w:val="26361789"/>
    <w:lvl w:ilvl="0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8" w:hanging="360"/>
      </w:pPr>
    </w:lvl>
    <w:lvl w:ilvl="2">
      <w:start w:val="1"/>
      <w:numFmt w:val="lowerRoman"/>
      <w:lvlText w:val="%3."/>
      <w:lvlJc w:val="right"/>
      <w:pPr>
        <w:ind w:left="1578" w:hanging="180"/>
      </w:pPr>
    </w:lvl>
    <w:lvl w:ilvl="3">
      <w:start w:val="1"/>
      <w:numFmt w:val="decimal"/>
      <w:lvlText w:val="%4."/>
      <w:lvlJc w:val="left"/>
      <w:pPr>
        <w:ind w:left="2298" w:hanging="360"/>
      </w:pPr>
    </w:lvl>
    <w:lvl w:ilvl="4">
      <w:start w:val="1"/>
      <w:numFmt w:val="lowerLetter"/>
      <w:lvlText w:val="%5."/>
      <w:lvlJc w:val="left"/>
      <w:pPr>
        <w:ind w:left="3018" w:hanging="360"/>
      </w:pPr>
    </w:lvl>
    <w:lvl w:ilvl="5">
      <w:start w:val="1"/>
      <w:numFmt w:val="lowerRoman"/>
      <w:lvlText w:val="%6."/>
      <w:lvlJc w:val="right"/>
      <w:pPr>
        <w:ind w:left="3738" w:hanging="180"/>
      </w:pPr>
    </w:lvl>
    <w:lvl w:ilvl="6">
      <w:start w:val="1"/>
      <w:numFmt w:val="decimal"/>
      <w:lvlText w:val="%7."/>
      <w:lvlJc w:val="left"/>
      <w:pPr>
        <w:ind w:left="4458" w:hanging="360"/>
      </w:pPr>
    </w:lvl>
    <w:lvl w:ilvl="7">
      <w:start w:val="1"/>
      <w:numFmt w:val="lowerLetter"/>
      <w:lvlText w:val="%8."/>
      <w:lvlJc w:val="left"/>
      <w:pPr>
        <w:ind w:left="5178" w:hanging="360"/>
      </w:pPr>
    </w:lvl>
    <w:lvl w:ilvl="8">
      <w:start w:val="1"/>
      <w:numFmt w:val="lowerRoman"/>
      <w:lvlText w:val="%9."/>
      <w:lvlJc w:val="right"/>
      <w:pPr>
        <w:ind w:left="5898" w:hanging="180"/>
      </w:pPr>
    </w:lvl>
  </w:abstractNum>
  <w:abstractNum w:abstractNumId="6" w15:restartNumberingAfterBreak="0">
    <w:nsid w:val="54C3E0DF"/>
    <w:multiLevelType w:val="singleLevel"/>
    <w:tmpl w:val="54C3E0DF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57842F9F"/>
    <w:multiLevelType w:val="multilevel"/>
    <w:tmpl w:val="25B654F3"/>
    <w:lvl w:ilvl="0">
      <w:start w:val="1"/>
      <w:numFmt w:val="decimal"/>
      <w:lvlText w:val="%1."/>
      <w:lvlJc w:val="left"/>
      <w:pPr>
        <w:ind w:left="14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3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57"/>
      </w:pPr>
      <w:rPr>
        <w:rFonts w:hint="default"/>
        <w:lang w:val="ru-RU" w:eastAsia="en-US" w:bidi="ar-SA"/>
      </w:rPr>
    </w:lvl>
  </w:abstractNum>
  <w:abstractNum w:abstractNumId="8" w15:restartNumberingAfterBreak="0">
    <w:nsid w:val="5DD634CD"/>
    <w:multiLevelType w:val="multilevel"/>
    <w:tmpl w:val="25B654F3"/>
    <w:lvl w:ilvl="0">
      <w:start w:val="1"/>
      <w:numFmt w:val="decimal"/>
      <w:lvlText w:val="%1."/>
      <w:lvlJc w:val="left"/>
      <w:pPr>
        <w:ind w:left="14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3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57"/>
      </w:pPr>
      <w:rPr>
        <w:rFonts w:hint="default"/>
        <w:lang w:val="ru-RU" w:eastAsia="en-US" w:bidi="ar-SA"/>
      </w:rPr>
    </w:lvl>
  </w:abstractNum>
  <w:abstractNum w:abstractNumId="9" w15:restartNumberingAfterBreak="0">
    <w:nsid w:val="72183CF9"/>
    <w:multiLevelType w:val="multilevel"/>
    <w:tmpl w:val="72183CF9"/>
    <w:lvl w:ilvl="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3280966"/>
    <w:multiLevelType w:val="multilevel"/>
    <w:tmpl w:val="25B654F3"/>
    <w:lvl w:ilvl="0">
      <w:start w:val="1"/>
      <w:numFmt w:val="decimal"/>
      <w:lvlText w:val="%1."/>
      <w:lvlJc w:val="left"/>
      <w:pPr>
        <w:ind w:left="143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18" w:hanging="35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96" w:hanging="3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3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3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30D"/>
    <w:rsid w:val="00056817"/>
    <w:rsid w:val="00083A57"/>
    <w:rsid w:val="00094761"/>
    <w:rsid w:val="000E1873"/>
    <w:rsid w:val="001E1148"/>
    <w:rsid w:val="002864B6"/>
    <w:rsid w:val="003E42FE"/>
    <w:rsid w:val="003F7ABA"/>
    <w:rsid w:val="00424F89"/>
    <w:rsid w:val="004973BA"/>
    <w:rsid w:val="004C3954"/>
    <w:rsid w:val="005A36F7"/>
    <w:rsid w:val="00612CF0"/>
    <w:rsid w:val="006C37F4"/>
    <w:rsid w:val="006C56ED"/>
    <w:rsid w:val="00730F6D"/>
    <w:rsid w:val="00791D0E"/>
    <w:rsid w:val="008978C6"/>
    <w:rsid w:val="00970D09"/>
    <w:rsid w:val="009A7707"/>
    <w:rsid w:val="009B4049"/>
    <w:rsid w:val="00D76813"/>
    <w:rsid w:val="00DA0ED3"/>
    <w:rsid w:val="00E1730D"/>
    <w:rsid w:val="00F74408"/>
    <w:rsid w:val="00FF6D3E"/>
    <w:rsid w:val="07355F11"/>
    <w:rsid w:val="280A04F2"/>
    <w:rsid w:val="334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9C4E83"/>
  <w15:docId w15:val="{FB92B7E1-CC64-4114-9E38-1A09C70B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2"/>
      <w:ind w:left="193" w:right="18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2"/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</w:p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List Paragraph"/>
    <w:basedOn w:val="a"/>
    <w:uiPriority w:val="1"/>
    <w:qFormat/>
    <w:pPr>
      <w:ind w:left="143" w:firstLine="707"/>
      <w:jc w:val="both"/>
    </w:pPr>
  </w:style>
  <w:style w:type="character" w:customStyle="1" w:styleId="a6">
    <w:name w:val="Нижний колонтитул Знак"/>
    <w:basedOn w:val="a0"/>
    <w:link w:val="a5"/>
    <w:uiPriority w:val="99"/>
    <w:rsid w:val="006C37F4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3223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Тамерлан Жумашев</cp:lastModifiedBy>
  <cp:revision>14</cp:revision>
  <dcterms:created xsi:type="dcterms:W3CDTF">2026-06-21T16:21:00Z</dcterms:created>
  <dcterms:modified xsi:type="dcterms:W3CDTF">2026-06-25T13:54:00Z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eyJoZGlkIjoiYmViMjIwOWE0NTM4NmJlY2I5OWY4NGU4ZGU0NmFjYjIiLCJ1c2VySWQiOiI4MjQ2MzUwMjQwNTYifQ==</vt:lpwstr>
  </property>
  <property fmtid="{D5CDD505-2E9C-101B-9397-08002B2CF9AE}" pid="4" name="ICV">
    <vt:lpwstr>DF878405D1144D8FBEE7F1EAA8DD4616_12</vt:lpwstr>
  </property>
</Properties>
</file>