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F0EA0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Hlk233285308"/>
      <w:r w:rsidRPr="008B559A">
        <w:rPr>
          <w:rFonts w:ascii="Times New Roman" w:eastAsia="Calibri" w:hAnsi="Times New Roman" w:cs="Times New Roman"/>
          <w:sz w:val="28"/>
        </w:rPr>
        <w:t>МИНОБРНАУКИ РОССИИ</w:t>
      </w:r>
    </w:p>
    <w:p w14:paraId="76A0CDCA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8B559A">
        <w:rPr>
          <w:rFonts w:ascii="Times New Roman" w:eastAsia="Calibri" w:hAnsi="Times New Roman" w:cs="Times New Roman"/>
          <w:sz w:val="28"/>
        </w:rPr>
        <w:t>Федеральное государственное бюджетное образовательное учреждение</w:t>
      </w:r>
    </w:p>
    <w:p w14:paraId="1203AB09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8B559A">
        <w:rPr>
          <w:rFonts w:ascii="Times New Roman" w:eastAsia="Calibri" w:hAnsi="Times New Roman" w:cs="Times New Roman"/>
          <w:sz w:val="28"/>
        </w:rPr>
        <w:t>высшего образования</w:t>
      </w:r>
    </w:p>
    <w:p w14:paraId="31C52AFF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B559A">
        <w:rPr>
          <w:rFonts w:ascii="Times New Roman" w:eastAsia="Calibri" w:hAnsi="Times New Roman" w:cs="Times New Roman"/>
          <w:b/>
          <w:sz w:val="28"/>
        </w:rPr>
        <w:t>«САРАТОВСКИЙ НАЦИОНАЛЬНЫЙ ИССЛЕДОВАТЕЛЬСКИЙ</w:t>
      </w:r>
    </w:p>
    <w:p w14:paraId="740F5159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B559A">
        <w:rPr>
          <w:rFonts w:ascii="Times New Roman" w:eastAsia="Calibri" w:hAnsi="Times New Roman" w:cs="Times New Roman"/>
          <w:b/>
          <w:sz w:val="28"/>
        </w:rPr>
        <w:t xml:space="preserve">ГОСУДАРСТВЕННЫЙ УНИВЕРСИТЕТ </w:t>
      </w:r>
    </w:p>
    <w:p w14:paraId="0AB0C5F0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B559A">
        <w:rPr>
          <w:rFonts w:ascii="Times New Roman" w:eastAsia="Calibri" w:hAnsi="Times New Roman" w:cs="Times New Roman"/>
          <w:b/>
          <w:sz w:val="28"/>
        </w:rPr>
        <w:t>ИМЕНИ Н.Г. ЧЕРНЫШЕВСКОГО»</w:t>
      </w:r>
    </w:p>
    <w:p w14:paraId="3AA62C61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40154D1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21F85A9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E574C8E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u w:val="single"/>
        </w:rPr>
      </w:pPr>
      <w:r w:rsidRPr="008B559A">
        <w:rPr>
          <w:rFonts w:ascii="Times New Roman" w:eastAsia="Calibri" w:hAnsi="Times New Roman" w:cs="Times New Roman"/>
          <w:sz w:val="28"/>
          <w:u w:val="single"/>
        </w:rPr>
        <w:t>Кафедра экономической и социальной географии</w:t>
      </w:r>
    </w:p>
    <w:p w14:paraId="5620CB36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320B879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951DC56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47EBC0A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D009B94" w14:textId="77777777" w:rsidR="008B559A" w:rsidRPr="008B559A" w:rsidRDefault="008B559A" w:rsidP="008B559A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B559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Разработка туристского маршрута по Алтаю</w:t>
      </w:r>
    </w:p>
    <w:p w14:paraId="1B5D75B4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6B793475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8B559A">
        <w:rPr>
          <w:rFonts w:ascii="Times New Roman" w:eastAsia="Calibri" w:hAnsi="Times New Roman" w:cs="Times New Roman"/>
          <w:color w:val="000000"/>
          <w:sz w:val="28"/>
          <w:szCs w:val="28"/>
        </w:rPr>
        <w:t>АВТОРЕФЕРАТ БАКАЛАВРСКОЙ РАБОТЫ</w:t>
      </w:r>
    </w:p>
    <w:p w14:paraId="23DE63F1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5ACDCB5" w14:textId="77777777" w:rsidR="008B559A" w:rsidRPr="008B559A" w:rsidRDefault="008B559A" w:rsidP="008B55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B559A">
        <w:rPr>
          <w:rFonts w:ascii="Times New Roman" w:eastAsia="Calibri" w:hAnsi="Times New Roman" w:cs="Times New Roman"/>
          <w:sz w:val="28"/>
        </w:rPr>
        <w:t xml:space="preserve">студентки </w:t>
      </w:r>
      <w:proofErr w:type="gramStart"/>
      <w:r w:rsidRPr="008B559A">
        <w:rPr>
          <w:rFonts w:ascii="Times New Roman" w:eastAsia="Calibri" w:hAnsi="Times New Roman" w:cs="Times New Roman"/>
          <w:sz w:val="28"/>
          <w:u w:val="single"/>
        </w:rPr>
        <w:tab/>
        <w:t xml:space="preserve">  4</w:t>
      </w:r>
      <w:proofErr w:type="gramEnd"/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</w:rPr>
        <w:t xml:space="preserve"> курса </w:t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  <w:t>422</w:t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</w:rPr>
        <w:t xml:space="preserve"> группы</w:t>
      </w:r>
    </w:p>
    <w:p w14:paraId="739BE285" w14:textId="77777777" w:rsidR="008B559A" w:rsidRPr="008B559A" w:rsidRDefault="008B559A" w:rsidP="008B55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B559A">
        <w:rPr>
          <w:rFonts w:ascii="Times New Roman" w:eastAsia="Calibri" w:hAnsi="Times New Roman" w:cs="Times New Roman"/>
          <w:sz w:val="28"/>
        </w:rPr>
        <w:t xml:space="preserve">направления </w:t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  <w:t>05.03.02. География</w:t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</w:p>
    <w:p w14:paraId="3E4DEF32" w14:textId="77777777" w:rsidR="008B559A" w:rsidRPr="008B559A" w:rsidRDefault="008B559A" w:rsidP="008B55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  <w:t>географического факультета</w:t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</w:p>
    <w:p w14:paraId="4EDE13C6" w14:textId="77777777" w:rsidR="008B559A" w:rsidRPr="008B559A" w:rsidRDefault="008B559A" w:rsidP="008B55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  <w:t>Белоусовой Евгении Дмитриевны</w:t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  <w:r w:rsidRPr="008B559A">
        <w:rPr>
          <w:rFonts w:ascii="Times New Roman" w:eastAsia="Calibri" w:hAnsi="Times New Roman" w:cs="Times New Roman"/>
          <w:sz w:val="28"/>
          <w:u w:val="single"/>
        </w:rPr>
        <w:tab/>
      </w:r>
    </w:p>
    <w:p w14:paraId="38A97F20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97ED38D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186BBC2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8DE0520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8777C02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ADD3B54" w14:textId="77777777" w:rsidR="008B559A" w:rsidRPr="008B559A" w:rsidRDefault="008B559A" w:rsidP="008B55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8B559A">
        <w:rPr>
          <w:rFonts w:ascii="Times New Roman" w:eastAsia="Calibri" w:hAnsi="Times New Roman" w:cs="Times New Roman"/>
          <w:sz w:val="28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8B559A" w:rsidRPr="008B559A" w14:paraId="7CF471D8" w14:textId="77777777" w:rsidTr="003E5D8B">
        <w:trPr>
          <w:trHeight w:val="303"/>
        </w:trPr>
        <w:tc>
          <w:tcPr>
            <w:tcW w:w="3540" w:type="dxa"/>
            <w:tcBorders>
              <w:bottom w:val="single" w:sz="4" w:space="0" w:color="auto"/>
            </w:tcBorders>
          </w:tcPr>
          <w:p w14:paraId="143A0738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B559A">
              <w:rPr>
                <w:rFonts w:ascii="Times New Roman" w:eastAsia="Calibri" w:hAnsi="Times New Roman" w:cs="Times New Roman"/>
                <w:sz w:val="28"/>
              </w:rPr>
              <w:t xml:space="preserve">доцент, </w:t>
            </w:r>
            <w:proofErr w:type="spellStart"/>
            <w:r w:rsidRPr="008B559A">
              <w:rPr>
                <w:rFonts w:ascii="Times New Roman" w:eastAsia="Calibri" w:hAnsi="Times New Roman" w:cs="Times New Roman"/>
                <w:sz w:val="28"/>
              </w:rPr>
              <w:t>к.г.н</w:t>
            </w:r>
            <w:proofErr w:type="spellEnd"/>
            <w:r w:rsidRPr="008B559A">
              <w:rPr>
                <w:rFonts w:ascii="Times New Roman" w:eastAsia="Calibri" w:hAnsi="Times New Roman" w:cs="Times New Roman"/>
                <w:sz w:val="28"/>
              </w:rPr>
              <w:t>., доцент</w:t>
            </w:r>
          </w:p>
        </w:tc>
        <w:tc>
          <w:tcPr>
            <w:tcW w:w="281" w:type="dxa"/>
          </w:tcPr>
          <w:p w14:paraId="1133B302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07670808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16ABC625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56DD2580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B559A">
              <w:rPr>
                <w:rFonts w:ascii="Times New Roman" w:eastAsia="Calibri" w:hAnsi="Times New Roman" w:cs="Times New Roman"/>
                <w:sz w:val="28"/>
              </w:rPr>
              <w:t xml:space="preserve">Л.В. </w:t>
            </w:r>
            <w:proofErr w:type="spellStart"/>
            <w:r w:rsidRPr="008B559A">
              <w:rPr>
                <w:rFonts w:ascii="Times New Roman" w:eastAsia="Calibri" w:hAnsi="Times New Roman" w:cs="Times New Roman"/>
                <w:sz w:val="28"/>
              </w:rPr>
              <w:t>Макарцева</w:t>
            </w:r>
            <w:proofErr w:type="spellEnd"/>
          </w:p>
        </w:tc>
      </w:tr>
      <w:tr w:rsidR="008B559A" w:rsidRPr="008B559A" w14:paraId="59A33108" w14:textId="77777777" w:rsidTr="003E5D8B">
        <w:tc>
          <w:tcPr>
            <w:tcW w:w="3540" w:type="dxa"/>
            <w:tcBorders>
              <w:top w:val="single" w:sz="4" w:space="0" w:color="auto"/>
            </w:tcBorders>
            <w:vAlign w:val="center"/>
          </w:tcPr>
          <w:p w14:paraId="48C05D36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59A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16C4B045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vAlign w:val="center"/>
          </w:tcPr>
          <w:p w14:paraId="12AAFDC4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59A">
              <w:rPr>
                <w:rFonts w:ascii="Times New Roman" w:eastAsia="Calibri" w:hAnsi="Times New Roman" w:cs="Times New Roman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44D6129B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6394AC4F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59A">
              <w:rPr>
                <w:rFonts w:ascii="Times New Roman" w:eastAsia="Calibri" w:hAnsi="Times New Roman" w:cs="Times New Roman"/>
                <w:sz w:val="18"/>
                <w:szCs w:val="18"/>
              </w:rPr>
              <w:t>инициалы, фамилия</w:t>
            </w:r>
          </w:p>
        </w:tc>
      </w:tr>
    </w:tbl>
    <w:p w14:paraId="649CF40B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44B38AA" w14:textId="77777777" w:rsidR="008B559A" w:rsidRPr="008B559A" w:rsidRDefault="008B559A" w:rsidP="008B559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8B559A">
        <w:rPr>
          <w:rFonts w:ascii="Times New Roman" w:eastAsia="Calibri" w:hAnsi="Times New Roman" w:cs="Times New Roman"/>
          <w:sz w:val="28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54"/>
        <w:gridCol w:w="282"/>
        <w:gridCol w:w="2352"/>
        <w:gridCol w:w="282"/>
        <w:gridCol w:w="2885"/>
      </w:tblGrid>
      <w:tr w:rsidR="008B559A" w:rsidRPr="008B559A" w14:paraId="6300F307" w14:textId="77777777" w:rsidTr="003E5D8B">
        <w:tc>
          <w:tcPr>
            <w:tcW w:w="3652" w:type="dxa"/>
            <w:tcBorders>
              <w:bottom w:val="single" w:sz="4" w:space="0" w:color="auto"/>
            </w:tcBorders>
          </w:tcPr>
          <w:p w14:paraId="04C9B677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B559A">
              <w:rPr>
                <w:rFonts w:ascii="Times New Roman" w:eastAsia="Calibri" w:hAnsi="Times New Roman" w:cs="Times New Roman"/>
                <w:sz w:val="28"/>
              </w:rPr>
              <w:t>к.г.н</w:t>
            </w:r>
            <w:proofErr w:type="spellEnd"/>
            <w:r w:rsidRPr="008B559A">
              <w:rPr>
                <w:rFonts w:ascii="Times New Roman" w:eastAsia="Calibri" w:hAnsi="Times New Roman" w:cs="Times New Roman"/>
                <w:sz w:val="28"/>
              </w:rPr>
              <w:t>., доцент</w:t>
            </w:r>
          </w:p>
        </w:tc>
        <w:tc>
          <w:tcPr>
            <w:tcW w:w="284" w:type="dxa"/>
          </w:tcPr>
          <w:p w14:paraId="4969AB80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5E53725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75818AFD" w14:textId="77777777" w:rsidR="008B559A" w:rsidRPr="008B559A" w:rsidRDefault="008B559A" w:rsidP="008B559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05BDF231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B559A">
              <w:rPr>
                <w:rFonts w:ascii="Times New Roman" w:eastAsia="Calibri" w:hAnsi="Times New Roman" w:cs="Times New Roman"/>
                <w:sz w:val="28"/>
              </w:rPr>
              <w:t xml:space="preserve">А.В. </w:t>
            </w:r>
            <w:proofErr w:type="spellStart"/>
            <w:r w:rsidRPr="008B559A">
              <w:rPr>
                <w:rFonts w:ascii="Times New Roman" w:eastAsia="Calibri" w:hAnsi="Times New Roman" w:cs="Times New Roman"/>
                <w:sz w:val="28"/>
              </w:rPr>
              <w:t>Затонская</w:t>
            </w:r>
            <w:proofErr w:type="spellEnd"/>
          </w:p>
        </w:tc>
      </w:tr>
      <w:tr w:rsidR="008B559A" w:rsidRPr="008B559A" w14:paraId="33A9278C" w14:textId="77777777" w:rsidTr="003E5D8B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36783A58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59A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3D6323E7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F6517E8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59A">
              <w:rPr>
                <w:rFonts w:ascii="Times New Roman" w:eastAsia="Calibri" w:hAnsi="Times New Roman" w:cs="Times New Roman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0452E199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7AA5548A" w14:textId="77777777" w:rsidR="008B559A" w:rsidRPr="008B559A" w:rsidRDefault="008B559A" w:rsidP="008B559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559A">
              <w:rPr>
                <w:rFonts w:ascii="Times New Roman" w:eastAsia="Calibri" w:hAnsi="Times New Roman" w:cs="Times New Roman"/>
                <w:sz w:val="18"/>
                <w:szCs w:val="18"/>
              </w:rPr>
              <w:t>инициалы, фамилия</w:t>
            </w:r>
          </w:p>
        </w:tc>
      </w:tr>
    </w:tbl>
    <w:p w14:paraId="7B5EF19C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467E004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009B420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F4FEBB8" w14:textId="20401171" w:rsid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4E9D2E6" w14:textId="77777777" w:rsidR="008B559A" w:rsidRPr="008B559A" w:rsidRDefault="008B559A" w:rsidP="008B55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812BF3F" w14:textId="77777777" w:rsidR="008B559A" w:rsidRPr="008B559A" w:rsidRDefault="008B559A" w:rsidP="008B5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B559A">
        <w:rPr>
          <w:rFonts w:ascii="Times New Roman" w:eastAsia="Calibri" w:hAnsi="Times New Roman" w:cs="Times New Roman"/>
          <w:sz w:val="28"/>
        </w:rPr>
        <w:t>Саратов 2026</w:t>
      </w:r>
      <w:bookmarkEnd w:id="0"/>
    </w:p>
    <w:p w14:paraId="690385FC" w14:textId="77777777" w:rsidR="00C562D5" w:rsidRP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>Введение.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Актуальность выбранной темы объясняется тем, что поездки за границу стали дороже из-за логистики, изменения курса валюты и в центре внимания путешественников стали востребованы туристические маршруты по нашей стране и, в частности путешествия по Алтайскому краю.</w:t>
      </w:r>
    </w:p>
    <w:p w14:paraId="4737F847" w14:textId="77777777" w:rsidR="00D91C9E" w:rsidRP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Цель бакалаврской работы – исследование Алтайского края как центра развития туризма </w:t>
      </w:r>
    </w:p>
    <w:p w14:paraId="493C8C91" w14:textId="77777777" w:rsidR="00D91C9E" w:rsidRP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Для достижения поставленной цели необходимо решить следующие задачи:</w:t>
      </w:r>
    </w:p>
    <w:p w14:paraId="32E9692C" w14:textId="77777777" w:rsidR="00D91C9E" w:rsidRP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1.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  <w:t xml:space="preserve">Раскрыть понятие «туристский маршрут», «туристский продукт», принципы построения маршрута и изучить классификацию туристского маршрута  </w:t>
      </w:r>
    </w:p>
    <w:p w14:paraId="3F74964D" w14:textId="77777777" w:rsidR="00D91C9E" w:rsidRP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2.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  <w:t>Дать характеристику края как центра развития туризма и проанализировать основные этапы проектирования туристского маршрута по Алтаю для формирования туристического образа</w:t>
      </w:r>
    </w:p>
    <w:p w14:paraId="76B6CF3A" w14:textId="77777777" w:rsidR="00D91C9E" w:rsidRP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3.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ab/>
        <w:t xml:space="preserve">Разработать проект туристского маршрута «Малые сёла Большого Алтая». </w:t>
      </w:r>
    </w:p>
    <w:p w14:paraId="5E38DA4E" w14:textId="77777777" w:rsid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Структура выпускной квалификационной работы: работа состоит из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введения, трёх разделов, заключения, списка использованных источников,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приложений.</w:t>
      </w:r>
    </w:p>
    <w:p w14:paraId="461BD474" w14:textId="77777777" w:rsidR="00D91C9E" w:rsidRDefault="00D91C9E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333989C8" w14:textId="4AA3ADB7" w:rsidR="006777F7" w:rsidRPr="005F6677" w:rsidRDefault="00D91C9E" w:rsidP="005F66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1 Сущность понятий: «туристский маршрут», «туристский продукт»</w:t>
      </w:r>
      <w:r w:rsidR="005F667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6777F7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Конкретную трактовку понятие «туристский маршрут» получило в Федеральном законе от 24 ноября 1996 г. № 132-ФЗ «Об основах туристской деятельности в Российской Федерации»: Туристский маршрут – путь следования туристов (экскурсантов), включающий в себя посещение и/или использование туристских </w:t>
      </w:r>
      <w:r w:rsidR="006777F7" w:rsidRPr="006777F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ресурсов </w:t>
      </w:r>
      <w:r w:rsidR="00B2640A">
        <w:rPr>
          <w:rFonts w:ascii="Times New Roman" w:eastAsia="Arial Unicode MS" w:hAnsi="Times New Roman" w:cs="Arial Unicode MS"/>
          <w:sz w:val="28"/>
          <w:szCs w:val="28"/>
          <w:u w:color="70AD47"/>
          <w:bdr w:val="nil"/>
          <w:lang w:eastAsia="ru-RU"/>
        </w:rPr>
        <w:t>(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Туристский маршрут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...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[Электронный ресурс]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2026</w:t>
      </w:r>
      <w:r w:rsidR="00B2640A">
        <w:rPr>
          <w:rFonts w:ascii="Times New Roman" w:eastAsia="Arial Unicode MS" w:hAnsi="Times New Roman" w:cs="Arial Unicode MS"/>
          <w:sz w:val="28"/>
          <w:szCs w:val="28"/>
          <w:u w:color="70AD47"/>
          <w:bdr w:val="nil"/>
          <w:lang w:eastAsia="ru-RU"/>
        </w:rPr>
        <w:t>)</w:t>
      </w:r>
      <w:r w:rsidR="005F6677">
        <w:rPr>
          <w:rFonts w:ascii="Times New Roman" w:eastAsia="Arial Unicode MS" w:hAnsi="Times New Roman" w:cs="Arial Unicode MS"/>
          <w:sz w:val="28"/>
          <w:szCs w:val="28"/>
          <w:u w:color="70AD47"/>
          <w:bdr w:val="nil"/>
          <w:lang w:eastAsia="ru-RU"/>
        </w:rPr>
        <w:t>.</w:t>
      </w:r>
    </w:p>
    <w:p w14:paraId="3E09B3E4" w14:textId="02B37AC7" w:rsidR="005F6677" w:rsidRPr="00B2640A" w:rsidRDefault="006777F7" w:rsidP="00B2640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Согласно этому закону, туроператорская деятельность осуществляется исключительно юридическим лицом, а турпродукт – комплекс услуг по перевозке и размещению, оказывающихся за общую цену</w:t>
      </w:r>
      <w:r w:rsidR="005F667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="00B2640A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(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Вторая рабочая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сессия: формирование комплексного конкурентоспособного </w:t>
      </w:r>
      <w:proofErr w:type="spellStart"/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турпредложения</w:t>
      </w:r>
      <w:proofErr w:type="spellEnd"/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сельской территории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...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[Электронный ресурс]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2026</w:t>
      </w:r>
      <w:r w:rsidR="00B2640A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)</w:t>
      </w:r>
      <w:r w:rsidR="005F6677" w:rsidRPr="005F6677">
        <w:rPr>
          <w:rStyle w:val="a3"/>
          <w:rFonts w:ascii="Times New Roman" w:hAnsi="Times New Roman" w:cs="Times New Roman"/>
          <w:sz w:val="28"/>
          <w:szCs w:val="28"/>
          <w:u w:color="FFC000"/>
        </w:rPr>
        <w:t>.</w:t>
      </w:r>
    </w:p>
    <w:p w14:paraId="0041B8C3" w14:textId="5FA7A8F5" w:rsidR="006777F7" w:rsidRPr="005F6677" w:rsidRDefault="006777F7" w:rsidP="005F66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Научная классификация туристских маршрутов позволяет систематизировать их по определённым критериям: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мотивационно-целевому критерию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типам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продолжительности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характеру туристской дестинации (места пребывания)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сезонности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способу передвижения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протяжённости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способу организации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территориальному охвату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субъектному принципу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; п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 пространственной конфигурации</w:t>
      </w:r>
      <w:r w:rsid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7459B627" w14:textId="77777777" w:rsidR="006777F7" w:rsidRPr="00D91C9E" w:rsidRDefault="00947743" w:rsidP="0094774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</w:t>
      </w:r>
      <w:r w:rsidRP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ри формировании туристского маршрута разработчику туристского маршрута рекомендуется руководствоваться следующими принципами: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комплексность, </w:t>
      </w:r>
      <w:proofErr w:type="spellStart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всесезонность</w:t>
      </w:r>
      <w:proofErr w:type="spellEnd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согласованность, оснащенность, узнаваемость.</w:t>
      </w:r>
    </w:p>
    <w:p w14:paraId="6AE3E9E6" w14:textId="1ADBA0B8" w:rsidR="00D91C9E" w:rsidRDefault="00947743" w:rsidP="00B2640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94774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Продвижение в контексте маркетинга является одним из базовых элементов маркетингового комплекса, включающего в себя четыре базовые составляющие: продукт, цену, место и продвижение. Целью продвижения может являться осведомление о бренде, увеличение продаж, повышение лояльности к бренду др. Традиционно продвижение включает в себя такие виды коммуникаций, как реклама, связи с общественностью, стимулирование сбыта, прямой маркетинг и личная продажа, при этом разные авторы могут по-своему дорабатывать данный перечень, объединяя представленные методы или выделяя их в отдельную категорию</w:t>
      </w:r>
      <w:r w:rsidR="005F667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proofErr w:type="spellStart"/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Озимина</w:t>
      </w:r>
      <w:proofErr w:type="spellEnd"/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Л. А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2019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</w:t>
      </w:r>
      <w:r w:rsidR="005F667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532E776B" w14:textId="00E33594" w:rsidR="00202294" w:rsidRPr="005F6677" w:rsidRDefault="00D91C9E" w:rsidP="005F66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2 Характеристика Алтайского края как центра развития туризма в России</w:t>
      </w:r>
      <w:r w:rsidR="005F667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202294"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Алтайский край расположен на юго-востоке Западной Сибири. Территория края составляет 168 тыс. кв. км.</w:t>
      </w:r>
      <w:r w:rsidR="00A55A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</w:t>
      </w:r>
      <w:r w:rsidR="00202294"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рай граничит с </w:t>
      </w:r>
      <w:r w:rsidR="00A55A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 регионами.</w:t>
      </w:r>
    </w:p>
    <w:p w14:paraId="38A81997" w14:textId="77777777" w:rsidR="00202294" w:rsidRPr="00202294" w:rsidRDefault="00202294" w:rsidP="0020229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По территории региона проходят ключевые транспортные артерии, связывающие Россию с Центральной Азией и обеспечивающие доступность туристских объектов для путешественников.</w:t>
      </w:r>
    </w:p>
    <w:p w14:paraId="208F9E84" w14:textId="7018D20C" w:rsidR="00202294" w:rsidRDefault="00202294" w:rsidP="0020229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Климат умеренный резко континентальный, формируется в результате частой смены воздушных масс, поступающих из Атлантики, Арктики, Восточной Сибири и Средней Азии. Преобладание малооблачной погоды </w:t>
      </w:r>
      <w:r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обеспечивает значительный приток солнечной радиации. Среднегодовые температуры – положительные, безморозный период продолжается около 120 дней. </w:t>
      </w:r>
    </w:p>
    <w:p w14:paraId="53583B4D" w14:textId="5C759D34" w:rsidR="00202294" w:rsidRDefault="00202294" w:rsidP="00B2640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Богатство края имеет и туристское значение: минеральные и питьевые воды служат основой для развития санитарно-курортного комплекса</w:t>
      </w:r>
      <w:r w:rsidR="005F667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B2640A">
        <w:rPr>
          <w:rStyle w:val="a3"/>
          <w:rFonts w:ascii="Times New Roman" w:hAnsi="Times New Roman" w:cs="Times New Roman"/>
          <w:sz w:val="28"/>
          <w:szCs w:val="28"/>
          <w:u w:color="FFC000"/>
        </w:rPr>
        <w:t>(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Краткая информация об Алтайском крае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...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[Электронный ресурс]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2026</w:t>
      </w:r>
      <w:r w:rsidR="00B2640A">
        <w:rPr>
          <w:rStyle w:val="a3"/>
          <w:rFonts w:ascii="Times New Roman" w:hAnsi="Times New Roman" w:cs="Times New Roman"/>
          <w:sz w:val="28"/>
          <w:szCs w:val="28"/>
          <w:u w:color="FFC000"/>
        </w:rPr>
        <w:t>)</w:t>
      </w:r>
      <w:r w:rsidR="005F6677" w:rsidRPr="005F6677">
        <w:rPr>
          <w:rStyle w:val="a3"/>
          <w:rFonts w:ascii="Times New Roman" w:hAnsi="Times New Roman" w:cs="Times New Roman"/>
          <w:sz w:val="28"/>
          <w:szCs w:val="28"/>
          <w:u w:color="FFC000"/>
        </w:rPr>
        <w:t>.</w:t>
      </w:r>
    </w:p>
    <w:p w14:paraId="242E8B08" w14:textId="2FDA75B7" w:rsidR="00D91C9E" w:rsidRDefault="00202294" w:rsidP="00B2640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По данным Федеральной службы государственной статистики по Алтайскому краю и Республике Алтай, население на 1 января 2025 г. составило почти 2,1 млн чел., в том числе городское – около 1,23 млн чел. (58,7%), сельское – 0,87 млн чел. (41,3%). На территории региона проживают представители более 100 народностей.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20229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На территории региона представлено более 20 вероисповеданий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Алтайский край (паспорт </w:t>
      </w:r>
      <w:proofErr w:type="gramStart"/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региона)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...</w:t>
      </w:r>
      <w:proofErr w:type="gramEnd"/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[Электронный ресурс]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2026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</w:t>
      </w:r>
      <w:r w:rsidR="005F667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1CB016E0" w14:textId="3F7B6EF1" w:rsidR="00202294" w:rsidRPr="00D91C9E" w:rsidRDefault="00414031" w:rsidP="005F66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41403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Анализ рынка туристских услуг показал, что он представлен двумя основными сегментами: федеральными туроператорами, формирующими массовый поток и предлагающими стандартизированные туры по доступным ценам, и региональными компаниями, специализирующимися на активных видах туризма с включением всех услуг в стоимость тура. </w:t>
      </w:r>
    </w:p>
    <w:p w14:paraId="16FD053F" w14:textId="4829E87D" w:rsidR="00456845" w:rsidRPr="005F6677" w:rsidRDefault="00D91C9E" w:rsidP="005F66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  <w:r w:rsidRPr="00D91C9E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3 Разработка туристского маршрута «Малые сёла Большого Алтая»</w:t>
      </w:r>
      <w:r w:rsidR="005F667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. </w:t>
      </w:r>
      <w:r w:rsidR="00456845"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повышения привлекательности Алтайского края как туристского направления и для более равномерного распределения туристского потока по территории региона необходимо проработать вопрос целенаправленного включения малых сёл в туристские маршруты. </w:t>
      </w:r>
    </w:p>
    <w:p w14:paraId="03BEF0A5" w14:textId="73321B0A" w:rsidR="00456845" w:rsidRDefault="00456845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Исходя из этих предпосылок, была разработана концепция туристского маршрута «Малые сёла Большого Алтая». Идея проекта заключается в создании конкурентоспособного турпродукта, который объединяет несколько малых населённых пунктов Алтайского края в единую логичную нитку маршрута. </w:t>
      </w:r>
    </w:p>
    <w:p w14:paraId="7FF7CCC7" w14:textId="6C416DD9" w:rsidR="00456845" w:rsidRDefault="00456845" w:rsidP="00A55A5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Проект ориентирован на широкую аудиторию. Маршрут проектируется как автомобильный тур средней продолжительности (5-7 дней</w:t>
      </w:r>
      <w:r w:rsidR="00A55A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</w:t>
      </w: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Важным </w:t>
      </w: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>элементом проекта является разработка карты, которая помогает туристу ориентироваться на местности.</w:t>
      </w:r>
    </w:p>
    <w:p w14:paraId="2263D0DF" w14:textId="77777777" w:rsidR="00456845" w:rsidRPr="00456845" w:rsidRDefault="00456845" w:rsidP="004568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Продолжительность тура составляет 6 дней/5 ночей, если добираться с помощью авиасообщения, и 5 дней/4 ночи, если добираться с помощью железнодорожного сообщения. Важно отметить, что в продолжительности тура не учитывается время, потраченное на то, чтобы добраться до Барнаула, а также не учитывается стоимость билетов из каких-либо населённых пунктов до Москвы. То есть в калькуляции тура учитывается только рейсы Москва-Барнаул и обратный, а при подсчёте длительности тура мы начинаем с прибытия в Барнаул.</w:t>
      </w:r>
    </w:p>
    <w:p w14:paraId="6A50AE7C" w14:textId="77777777" w:rsidR="00D91C9E" w:rsidRDefault="00456845" w:rsidP="004568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Нить маршрута: г. Барнаул – с. Красногорское – с. Точильное – с. </w:t>
      </w:r>
      <w:proofErr w:type="spellStart"/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Еланда</w:t>
      </w:r>
      <w:proofErr w:type="spellEnd"/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– г. Барнаул</w:t>
      </w:r>
    </w:p>
    <w:p w14:paraId="0A9EC1BF" w14:textId="77777777" w:rsidR="00456845" w:rsidRDefault="00456845" w:rsidP="0045684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4568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 ходе анализа были проведены расчёты полной стоимости тура с учётом прибытия из Москвы в Барнаул двумя способами (на поезде и на самолёте), а также из Барнаула в Москву также двумя способами.</w:t>
      </w:r>
    </w:p>
    <w:p w14:paraId="3B3C5BC8" w14:textId="57EC0B75" w:rsidR="00D91C9E" w:rsidRDefault="00724938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249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Интернет-маркетинг сегодня становится не просто вспомогательным инструментом, а полноценной стратегией, позволяющей подчеркнуть уникальность туристского маршрута и донести её до целевой аудитории</w:t>
      </w:r>
      <w:r w:rsidR="00A55A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Маркетинговые стратегии продвижения продукции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2020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B2640A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С. 39–41</w:t>
      </w:r>
      <w:r w:rsidR="00B2640A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</w:t>
      </w:r>
      <w:r w:rsidR="005F667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 w:rsidR="00A55A5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7249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Применительно к разработанному маршруту «Малые сёла Большого Алтая» это означает, что все цифровые усилия должны работать на раскрытие его главного преимущества – подлинности, аутентичности и отличия от стандартных предложений массовых туроператоров.</w:t>
      </w:r>
    </w:p>
    <w:p w14:paraId="1599CBB2" w14:textId="77777777" w:rsidR="00724938" w:rsidRDefault="00724938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249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 рамках практической части выпускной работы был проведён онлайн-опрос будущих клиентов авторского тура «Малые сёла Большого Алтая».</w:t>
      </w:r>
    </w:p>
    <w:p w14:paraId="45D7FE68" w14:textId="2388243B" w:rsidR="00724938" w:rsidRDefault="00A55A54" w:rsidP="0072493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Согласно результатам</w:t>
      </w:r>
      <w:r w:rsidR="00724938" w:rsidRPr="007249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тур «Малые сёла Большого Алтая» будет востребован, если придерживаться следующих условий: продолжительность 5–7 дней, бюджет до 50 тыс. рублей, летний сезон, формат для пар и компаний, умеренный темп с погружением в атмосферу деревень.</w:t>
      </w:r>
    </w:p>
    <w:p w14:paraId="0A47B014" w14:textId="662CFF32" w:rsidR="00724938" w:rsidRDefault="00A55A54" w:rsidP="00D91C9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</w:t>
      </w:r>
      <w:r w:rsidR="00724938" w:rsidRPr="007249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нтернет-маркетинг выступает не просто набором инструментов, а </w:t>
      </w:r>
      <w:r w:rsidR="00724938" w:rsidRPr="0072493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полноценной стратегией, позволяющей подчеркнуть уникальность маршрута «Малые сёла Большого Алтая» и донести её до целевой аудитории. Современные технологии, точная сегментация потребителей, создание уникальных конкурентных преимуществ и применение цифровых решений позволяют значительно повысить привлекательность новых туристических продуктов. </w:t>
      </w:r>
    </w:p>
    <w:p w14:paraId="157EEDCF" w14:textId="77777777" w:rsidR="006777F7" w:rsidRPr="006777F7" w:rsidRDefault="00D91C9E" w:rsidP="006777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Заключение.</w:t>
      </w:r>
      <w:r w:rsidRPr="00D91C9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6777F7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 ходе исследования было установлено, что качественный турпродукт строится на чётком разделении понятий «маршрут» и «продукт», а также на соблюдении ключевых принципов проектирования: комплексности, </w:t>
      </w:r>
      <w:proofErr w:type="spellStart"/>
      <w:r w:rsidR="006777F7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всесезонности</w:t>
      </w:r>
      <w:proofErr w:type="spellEnd"/>
      <w:r w:rsidR="006777F7"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согласованности и узнаваемости. Четырёхуровневая модель Ф. Котлера и классификация маршрутов по различным признакам дают разработчику понятную систему координат для позиционирования нового тура на рынке. Дополняет эту систему набор цифровых инструментов продвижения, позволяющих обеспечить видимость продукта и привлечь клиентов.</w:t>
      </w:r>
    </w:p>
    <w:p w14:paraId="4175D0C7" w14:textId="77777777" w:rsidR="006777F7" w:rsidRPr="006777F7" w:rsidRDefault="006777F7" w:rsidP="006777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Анализ туристского потенциала Алтайского края показал, что регион обладает всеми необходимыми условиями для успешной реализации маршрута «Малые сёла Большого Алтая». Выгодное географическое положение, развитая транспортная сеть, благоприятный климат и богатое природное наследие создают прочную основу для развития сельского туризма. Рынок </w:t>
      </w:r>
      <w:proofErr w:type="spellStart"/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туруслуг</w:t>
      </w:r>
      <w:proofErr w:type="spellEnd"/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 регионе активно растёт, при этом наметился тренд на сокращение продолжительности поездок до 5–7 дней и развитие всесезонных предложений. Это совпадает с теми параметрами тура, которые были заложены в концепцию маршрута.</w:t>
      </w:r>
    </w:p>
    <w:p w14:paraId="5FD72D12" w14:textId="77777777" w:rsidR="006777F7" w:rsidRPr="006777F7" w:rsidRDefault="006777F7" w:rsidP="006777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 практической части исследования был разработан авторский туристский маршрут «Малые сёла Большого Алтая». Представлено его полное описание, включающее нитку движения, технологическую карту и программу обслуживания по дням. </w:t>
      </w:r>
    </w:p>
    <w:p w14:paraId="5CE8F004" w14:textId="77777777" w:rsidR="006777F7" w:rsidRPr="006777F7" w:rsidRDefault="006777F7" w:rsidP="006777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Результаты интернет-опроса потенциальных клиентов позволили уточнить портрет целевой аудитории и скорректировать характеристики </w:t>
      </w: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>продукта. Основной клиент – самостоятельно планирует поездку, ориентируется на отзывы друзей и ищет новые эмоции. Ключевые требования к туру: цена до 50 тысяч рублей, продолжительность 5–7 дней, летний сезон, формат для пар и компаний, неспешный темп с посещением 2–3 объектов в день. Продвижение продукта целесообразно вести через социальные сети с упором на живой пользовательский контент и рекомендации.</w:t>
      </w:r>
    </w:p>
    <w:p w14:paraId="70342491" w14:textId="7D23ABED" w:rsidR="00D91C9E" w:rsidRPr="00D91C9E" w:rsidRDefault="006777F7" w:rsidP="00B2640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77F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Практическая значимость работы заключается в том, что полученные выводы могут быть приняты во внимание туроператорами Алтайского края при формировании новых маршрутов по сельской местности. Маршрут «Малые сёла Большого Алтая» при соблюдении выявленных условий – по продолжительности, бюджету, темпу и каналам продвижения – способен занять свою нишу на рынке и пользоваться устойчивым спросом.</w:t>
      </w:r>
    </w:p>
    <w:sectPr w:rsidR="00D91C9E" w:rsidRPr="00D9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9E"/>
    <w:rsid w:val="00007248"/>
    <w:rsid w:val="00202294"/>
    <w:rsid w:val="00414031"/>
    <w:rsid w:val="00456845"/>
    <w:rsid w:val="005F6677"/>
    <w:rsid w:val="006777F7"/>
    <w:rsid w:val="00724938"/>
    <w:rsid w:val="008B559A"/>
    <w:rsid w:val="00947743"/>
    <w:rsid w:val="00957E28"/>
    <w:rsid w:val="00A55A54"/>
    <w:rsid w:val="00B2640A"/>
    <w:rsid w:val="00C61D75"/>
    <w:rsid w:val="00D9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3992"/>
  <w15:chartTrackingRefBased/>
  <w15:docId w15:val="{87DCB535-5E2A-48CC-91E5-F74AA838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C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D91C9E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91C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Нет"/>
    <w:rsid w:val="00D91C9E"/>
  </w:style>
  <w:style w:type="character" w:customStyle="1" w:styleId="20">
    <w:name w:val="Заголовок 2 Знак"/>
    <w:basedOn w:val="a0"/>
    <w:link w:val="2"/>
    <w:uiPriority w:val="9"/>
    <w:rsid w:val="00D91C9E"/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1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4">
    <w:name w:val="Нет A"/>
    <w:rsid w:val="00D91C9E"/>
  </w:style>
  <w:style w:type="character" w:styleId="a5">
    <w:name w:val="Hyperlink"/>
    <w:basedOn w:val="a0"/>
    <w:uiPriority w:val="99"/>
    <w:unhideWhenUsed/>
    <w:rsid w:val="00957E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7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FF519-F485-4203-8572-CB0B405D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</dc:creator>
  <cp:keywords/>
  <dc:description/>
  <cp:lastModifiedBy>Тамерлан Жумашев</cp:lastModifiedBy>
  <cp:revision>3</cp:revision>
  <dcterms:created xsi:type="dcterms:W3CDTF">2026-06-08T08:21:00Z</dcterms:created>
  <dcterms:modified xsi:type="dcterms:W3CDTF">2026-06-26T08:24:00Z</dcterms:modified>
</cp:coreProperties>
</file>