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МИНОБРНАУКИ РОССИИ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Федеральное государственное бюджетное образовательное учреждение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высшего образования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«САРАТОВСКИЙ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НАЦИОНАЛЬНЫЙ ИССЛЕДОВАТЕЛЬСКИЙ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ГОСУДАРСТВЕННЫЙ УНИВЕРСИТЕТ ИМЕНИ Н.Г. ЧЕРНЫШЕВСКОГО»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4859.0" w:type="dxa"/>
        <w:jc w:val="center"/>
        <w:tblLayout w:type="fixed"/>
        <w:tblLook w:val="0000"/>
      </w:tblPr>
      <w:tblGrid>
        <w:gridCol w:w="1384"/>
        <w:gridCol w:w="3475"/>
        <w:tblGridChange w:id="0">
          <w:tblGrid>
            <w:gridCol w:w="1384"/>
            <w:gridCol w:w="3475"/>
          </w:tblGrid>
        </w:tblGridChange>
      </w:tblGrid>
      <w:tr>
        <w:trPr>
          <w:cantSplit w:val="1"/>
          <w:trHeight w:val="300" w:hRule="atLeast"/>
          <w:tblHeader w:val="1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57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Кафедра</w:t>
            </w:r>
          </w:p>
        </w:tc>
        <w:tc>
          <w:tcPr/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немецкого и французского языков и методики их преподавания</w:t>
            </w:r>
          </w:p>
        </w:tc>
      </w:tr>
    </w:tbl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6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6" w:right="0" w:firstLine="0"/>
        <w:jc w:val="center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6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Влияние пандемии COVID 19 как историко-культурного фактора на современный немецкий язык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АВТОРЕФЕРАТ БАКАЛАВРСКОЙ РАБОТЫ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1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10.0" w:type="dxa"/>
        <w:jc w:val="left"/>
        <w:tblInd w:w="-439.0" w:type="dxa"/>
        <w:tblLayout w:type="fixed"/>
        <w:tblLook w:val="0000"/>
      </w:tblPr>
      <w:tblGrid>
        <w:gridCol w:w="1815"/>
        <w:gridCol w:w="1140"/>
        <w:gridCol w:w="810"/>
        <w:gridCol w:w="270"/>
        <w:gridCol w:w="1215"/>
        <w:gridCol w:w="4560"/>
        <w:tblGridChange w:id="0">
          <w:tblGrid>
            <w:gridCol w:w="1815"/>
            <w:gridCol w:w="1140"/>
            <w:gridCol w:w="810"/>
            <w:gridCol w:w="270"/>
            <w:gridCol w:w="1215"/>
            <w:gridCol w:w="4560"/>
          </w:tblGrid>
        </w:tblGridChange>
      </w:tblGrid>
      <w:tr>
        <w:trPr>
          <w:cantSplit w:val="1"/>
          <w:trHeight w:val="300" w:hRule="atLeast"/>
          <w:tblHeader w:val="1"/>
        </w:trPr>
        <w:tc>
          <w:tcPr/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08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студентки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курса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735"/>
              </w:tabs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421</w:t>
            </w:r>
          </w:p>
        </w:tc>
        <w:tc>
          <w:tcPr/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группы</w:t>
            </w:r>
          </w:p>
        </w:tc>
      </w:tr>
      <w:tr>
        <w:trPr>
          <w:cantSplit w:val="1"/>
          <w:trHeight w:val="96" w:hRule="atLeast"/>
          <w:tblHeader w:val="1"/>
        </w:trPr>
        <w:tc>
          <w:tcPr>
            <w:gridSpan w:val="3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08" w:firstLine="57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-108" w:firstLine="57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направления </w:t>
            </w:r>
          </w:p>
        </w:tc>
        <w:tc>
          <w:tcPr>
            <w:gridSpan w:val="3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57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44.03.01 Педагогическое образование, профиль – Иностранный язык</w:t>
            </w:r>
          </w:p>
        </w:tc>
      </w:tr>
      <w:tr>
        <w:trPr>
          <w:cantSplit w:val="1"/>
          <w:trHeight w:val="210" w:hRule="atLeast"/>
          <w:tblHeader w:val="1"/>
        </w:trPr>
        <w:tc>
          <w:tcPr>
            <w:gridSpan w:val="3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righ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51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96" w:hRule="atLeast"/>
          <w:tblHeader w:val="1"/>
        </w:trPr>
        <w:tc>
          <w:tcPr>
            <w:gridSpan w:val="6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факультета гуманитарных дисциплин русского и иностранных языков</w:t>
            </w:r>
          </w:p>
        </w:tc>
      </w:tr>
      <w:tr>
        <w:trPr>
          <w:cantSplit w:val="1"/>
          <w:trHeight w:val="300" w:hRule="atLeast"/>
          <w:tblHeader w:val="1"/>
        </w:trPr>
        <w:tc>
          <w:tcPr>
            <w:gridSpan w:val="6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00" w:hRule="atLeast"/>
          <w:tblHeader w:val="1"/>
        </w:trPr>
        <w:tc>
          <w:tcPr>
            <w:gridSpan w:val="6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Абрамовой Дарьи Александровны</w:t>
            </w:r>
          </w:p>
        </w:tc>
      </w:tr>
      <w:tr>
        <w:trPr>
          <w:cantSplit w:val="1"/>
          <w:trHeight w:val="300" w:hRule="atLeast"/>
          <w:tblHeader w:val="1"/>
        </w:trPr>
        <w:tc>
          <w:tcPr>
            <w:gridSpan w:val="6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Научный руководитель </w:t>
      </w:r>
    </w:p>
    <w:tbl>
      <w:tblPr>
        <w:tblStyle w:val="Table3"/>
        <w:tblW w:w="9975.0" w:type="dxa"/>
        <w:jc w:val="left"/>
        <w:tblInd w:w="-439.0" w:type="dxa"/>
        <w:tblLayout w:type="fixed"/>
        <w:tblLook w:val="0000"/>
      </w:tblPr>
      <w:tblGrid>
        <w:gridCol w:w="3900"/>
        <w:gridCol w:w="300"/>
        <w:gridCol w:w="2310"/>
        <w:gridCol w:w="300"/>
        <w:gridCol w:w="3165"/>
        <w:tblGridChange w:id="0">
          <w:tblGrid>
            <w:gridCol w:w="3900"/>
            <w:gridCol w:w="300"/>
            <w:gridCol w:w="2310"/>
            <w:gridCol w:w="300"/>
            <w:gridCol w:w="3165"/>
          </w:tblGrid>
        </w:tblGridChange>
      </w:tblGrid>
      <w:tr>
        <w:trPr>
          <w:cantSplit w:val="1"/>
          <w:trHeight w:val="300" w:hRule="atLeast"/>
          <w:tblHeader w:val="1"/>
        </w:trPr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доцент кафедры немецкого и французского  языков и методики их преподавания, к. фил. н. 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32" w:right="0" w:hanging="177.99999999999997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Е. В. Полянина</w:t>
            </w:r>
          </w:p>
        </w:tc>
      </w:tr>
      <w:tr>
        <w:trPr>
          <w:cantSplit w:val="1"/>
          <w:trHeight w:val="300" w:hRule="atLeast"/>
          <w:tblHeader w:val="1"/>
        </w:trPr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подпись, дата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Зав. кафедрой</w:t>
      </w:r>
    </w:p>
    <w:tbl>
      <w:tblPr>
        <w:tblStyle w:val="Table4"/>
        <w:tblW w:w="9990.0" w:type="dxa"/>
        <w:jc w:val="left"/>
        <w:tblInd w:w="-439.0" w:type="dxa"/>
        <w:tblLayout w:type="fixed"/>
        <w:tblLook w:val="0000"/>
      </w:tblPr>
      <w:tblGrid>
        <w:gridCol w:w="270"/>
        <w:gridCol w:w="1200"/>
        <w:gridCol w:w="1185"/>
        <w:gridCol w:w="1440"/>
        <w:gridCol w:w="135"/>
        <w:gridCol w:w="135"/>
        <w:gridCol w:w="2220"/>
        <w:gridCol w:w="285"/>
        <w:gridCol w:w="270"/>
        <w:gridCol w:w="2850"/>
        <w:tblGridChange w:id="0">
          <w:tblGrid>
            <w:gridCol w:w="270"/>
            <w:gridCol w:w="1200"/>
            <w:gridCol w:w="1185"/>
            <w:gridCol w:w="1440"/>
            <w:gridCol w:w="135"/>
            <w:gridCol w:w="135"/>
            <w:gridCol w:w="2220"/>
            <w:gridCol w:w="285"/>
            <w:gridCol w:w="270"/>
            <w:gridCol w:w="2850"/>
          </w:tblGrid>
        </w:tblGridChange>
      </w:tblGrid>
      <w:tr>
        <w:trPr>
          <w:cantSplit w:val="1"/>
          <w:trHeight w:val="300" w:hRule="atLeast"/>
          <w:tblHeader w:val="1"/>
        </w:trPr>
        <w:tc>
          <w:tcPr>
            <w:gridSpan w:val="4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немецкого и французского  языков и методики их преподавания, к. фил. н.,          доцент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454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С. А. Саковец</w:t>
            </w:r>
          </w:p>
        </w:tc>
      </w:tr>
      <w:tr>
        <w:trPr>
          <w:cantSplit w:val="1"/>
          <w:trHeight w:val="300" w:hRule="atLeast"/>
          <w:tblHeader w:val="1"/>
        </w:trPr>
        <w:tc>
          <w:tcPr>
            <w:gridSpan w:val="4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подпись, дата</w:t>
            </w:r>
          </w:p>
        </w:tc>
        <w:tc>
          <w:tcPr/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540.8984375" w:hRule="atLeast"/>
          <w:tblHeader w:val="1"/>
        </w:trPr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0"/>
              </w:tabs>
              <w:spacing w:after="0" w:before="0" w:line="240" w:lineRule="auto"/>
              <w:ind w:left="-108" w:right="-108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5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0"/>
              </w:tabs>
              <w:spacing w:after="0" w:before="0" w:line="240" w:lineRule="auto"/>
              <w:ind w:left="-108" w:right="-108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0"/>
              </w:tabs>
              <w:spacing w:after="0" w:before="0" w:line="240" w:lineRule="auto"/>
              <w:ind w:left="-108" w:right="-108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0"/>
              </w:tabs>
              <w:spacing w:after="0" w:before="0" w:line="240" w:lineRule="auto"/>
              <w:ind w:left="-108" w:right="-108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210"/>
              </w:tabs>
              <w:spacing w:after="0" w:before="0" w:line="240" w:lineRule="auto"/>
              <w:ind w:left="-108" w:right="-108" w:firstLine="156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6"/>
                <w:szCs w:val="26"/>
                <w:rtl w:val="0"/>
              </w:rPr>
              <w:t xml:space="preserve">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Саратов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5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5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5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51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2026      </w:t>
            </w:r>
          </w:p>
        </w:tc>
      </w:tr>
    </w:tbl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Актуальность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темы исследования обусловлена прежде всего тем, что несмотря на большое количество публикаций, посвященных пандемической лексике, многие вопросы остаются дискуссионными: критерии отбора неологизмов, их функциональная классификация, способы словообразования, а также методические аспекты включения данной лексики в учебный процесс. Как следствие, наблюдается повышенный интерес к изучению особенностей развития немецкого языка под влиянием пандемии COVID-19 как историко-культурного фактора. Данное исследование призвано восполнить указанные выше пробелы и предложить системный подход к анализу и использованию пандемических неологизмов.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Объектом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исследования является современный немецкий язык в период пандемии COVID-19 как отражение историко-культурных изменений, происходящих в немецком обществе.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Предмет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исследования представлен неологизмами немецкого языка, возникшими в период пандемии COVID-19 (2020-2023 гг.).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Цель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данной работы заключается в выявлении механизмов появления неологизмов в немецком языке в период пандемии COVID-19 и определении способов их воздействия на социум посредством СМИ; а также в разработке практических рекомендаций по использованию лексики пандемического периода в процессе обучения немецкому языку.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Для достижения цели требуется выполнить следующие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задачи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: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Раскрыть понятие историко-культурных факторов и определить их роль в развитии и изменении немецкого языка.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Выявить механизмы появления неологизмов в немецком языке под воздействием социальных и культурных изменений и определить способы их воздействия на социум посредством СМИ.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Рассмотреть пандемию COVID-19 как специфический историко-культурный фактор и определить ее воздействие на развитие современного немецкого языка.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Проанализировать немецкие неологизмы, связанные с пандемией, и выявить основные способы их словообразования.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Провести функциональную классификацию неологизмов, возникших в немецком языке в связи с пандемией COVID-19.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Рассмотреть словообразовательный потенциал неологизмов как совершенствование языковой компетенции в старших классах.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Методы исследования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в работе выбраны в соответствии с задачами и включают в себя: теоретические методы: анализ культурологической, лингвистической, лингвокультурологической и дидактической литературы по теме исследования; эмпирические методы: анализ работ различных лингвистов и психологов.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Методологической и теоретической базо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й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послужили работы российских и зарубежных лингвистов (В. В. Виноградов, Л. В. Щерба, И. И. Чернышева, И. А. Стернин, В. А. Нагуманова, М. А. Брейтер, Х. Буссман, М. Венгелер и др).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Материалом исследования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послужили неологизмы немецкого языка, возникшие в период пандемии COVID-19, зафиксированные в словаре «Neuer Wortschatz rund um die Coronapandemie» на портале OWID Института немецкого языка им. Лейбница (IDS), а также в публикациях немецких средств массовой информации (Berliner Zeitung) и официальных документах периода 2020-2023 годов. Всего проанализировано 398 единиц.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Научная новизна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настоящего исследования заключается в комплексном подходе к изучению влияния пандемии COVID-19 как историко-культурного фактора на современный немецкий язык, объединяющем анализ словообразовательных моделей неологизмов, их функциональную классификацию и дидактический потенциал.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Теоретическая значимость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данного исследования определяется многоаспектностью рассмотрения влияния пандемии COVID-19 на современный немецкий язык, объединяющей лингвистический, культурологический и дидактический подходы, а также систематизацией знаний о механизмах образования и функционирования неологизмов в кризисный период.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Практическая значимость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заключается в том, что результаты анализа могут быть использованы при изучении курса лексикологии, стилистики и лингвокультурологии немецкого языка. Изучение словообразовательного потенциала неологизмов на факультативных занятиях в старших классах может способствовать развитию языковой догадки и пониманию системных связей немецкого языка.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Апробация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исследования проводилась в Саратовском национальном исследовательском государственном университете имени Н. Г. Чернышевского на 78 (3) научной студенческой конференции факультета гуманитарных дисциплин, русского и иностранных языков в апреле 2026 года. 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Структура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работы определена задачами исследования, логикой раскрытия темы. Работа состоит из введения, двух глав, заключения и списка литературы.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Во введении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обосновывается актуальность работы, формулируются цели и задачи исследования, а также его теоретическое и практическое значение, указываются методы анализа.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 первой главе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раскрывается понятие историко-культурных факторов и их роль в развитии и изменении немецкого языка; выявляются механизмы появления неологизмов в немецком языке под воздействием социальных и культурных изменений и определяются способы их воздействия на социум посредством СМИ; рассматривается пандемия COVID-19 как специфический историко-культурный фактор и определяется ее воздействие на развитие современного немецкого языка.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Во второй главе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анализируются немецкие неологизмы, связанные с пандемией, и основные способы их словообразования; проводится функциональная классификация неологизмов, возникших в немецком языке в связи с пандемией COVID-19; рассматривается словообразовательный потенциал неологизмов как совершенствование языковой компетенции в старших классах.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 заключении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подводится итог проведенной работы, формулируются общие выводы исследования.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Список использованных источников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содержит 30 наименований учебной и научной литературы на русском, немецком и английском языках, в том числе Интернет источники.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Основное содержание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. В первой главе исследования рассматриваются теоретические основы влияния историко-культурных процессов на развитие немецкого языка. Язык представляет собой динамическую систему, которая непрерывно изменяется под воздействием общественных процессов. Изменения политической ситуации, развитие науки и технологий, культурные контакты между странами и трансформация общественных отношений неизбежно отражаются на его лексическом составе.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История немецкого языка показывает, что его развитие всегда происходило во взаимодействии с историческими процессами. Контакты с другими народами привели к активному заимствованию слов из латинского, французского и английского языков. Подобные процессы не только расширяли словарный состав языка, но и формировали новые способы выражения мыслей.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Особая роль в языковых изменениях принадлежит неологизмам. Под неологизмами понимаются новые слова или новые значения уже существующих слов, которые возникают вследствие необходимости обозначения новых предметов, явлений или процессов. Возникновение неологизмов тесно связано с общественными потребностями.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Пандемия COVID‑19 стала одним из наиболее ярких примеров того, как масштабные события способны влиять на языковую систему. Распространение новой инфекции затронуло практически все сферы человеческой деятельности: образование, медицину, экономику, политику и повседневную жизнь людей.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Проведенное исследование показало, что немецкий язык быстро адаптировался к новым условиям. В ходе анализа было рассмотрено 398 лексических единиц, зафиксированных в различных источниках. Полученные результаты позволили выявить наиболее продуктивные способы образования новых слов.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Наиболее распространенным способом словообразования оказалось словосложение. Данная модель считается одной из характерных особенностей немецкого языка, поскольку позволяет создавать компактные и содержательные лексические единицы. Среди примеров были выделены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Maskenpflicht”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(обязательное ношение масок),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Impfstatus”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(статус вакцинации),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Corona-Test”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(тест на коронавирус),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“der Antigenschnelltest”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(экспресс‑тест на антиген),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Impfzentrum”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(центр вакцинации)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“die Genesenenbescheinigung”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(справка о выздоровлении).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 работе были выявлены и другие механизмы словообразования.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Словообразование по аналогии. Оно представляет собой возникновение целых рядов сложных слов с повторяющимся компонентом (например,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Corona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549 единиц,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Impf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-”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152 единицы,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Covid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171 единица). Примеры: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Coronafrisur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(коронавирусная прическа),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Coronapatient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(пациент с COVID-19),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Impffortschritt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(прогресс вакцинации).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Заимствование (англицизмы) и полукальки. Значительная часть новой лексики пришла из английского языка. К подобным единицам относятся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Lockdown”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(режим ограничений),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“das Home Office”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(удалённая работа),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Containment”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(политика сдерживания),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Social Distancing”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(социальное дистанцирование),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Zoom”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(платформа видеосвязи). Следует отметить, что некоторые слова существовали и ранее, однако пандемия привела к активизации их употребления.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Неосемантизм (приобретение нового значения). Слова, уже существовавшие в языке, обрели новые смыслы. Например,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die Mobilität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в составе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“Mobilitätsbeschränkung”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(ограничение передвижения) стала ассоциироваться с административным регулированием;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Booster”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из технического термина превратился в «бустерную прививку»; цветовые прилагательные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grüne Zone”, “die rote Zone”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стали маркерами эпидемиологического риска.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Языковая экономия (аббревиация, усечение, контаминация). В условиях информационной перегрузки носители языка стремятся к краткости. Были зафиксированы такие единицы, как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2G-Regel”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(правило доступа для привитых и переболевших),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Corontäne”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(слияние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Corona”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+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Quarantäne”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), “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Flurona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” (грипп + коронавирус),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lzH”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“leben zu Hause”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«жить дома»).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Исследование также позволило установить, что доминирующей словообразовательной моделью является модель «существительное + существительное», что подтверждает устойчивую тенденцию немецкого языка к субстантивации и компрессии смысла.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 ходе анализа была проведена функциональная классификация выявленных единиц. Все исследованные неологизмы были разделены на номинативные и стилистические.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Номинативные единицы предназначены для обозначения новых явлений действительности. К данной группе относятся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Covpass”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(цифровой сертификат вакцинации),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PCR-Test”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(ПЦР‑тест),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Inzidenz”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(уровень заболеваемости),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Impfstatus”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(статус вакцинации). Подобные единицы обеспечивали точность коммуникации и позволяли быстро передавать необходимую информацию.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Стилистические неологизмы обладают другой функцией. Они помогают выражать отношение к происходящим событиям и передавать эмоциональную оценку. Среди них выделяются лексические (новообразования вроде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Fensterkonzert”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концерт для соседей из окна) и семантические (метафорические переносы). Возникновение подобных единиц демонстрирует, что язык отражает не только факты действительности, но и эмоциональное состояние общества.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Яркими примерами метафоризации стали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Hamsterfront”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(хомячий фронт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–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панические закупки),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Zombiefirma”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(фирма-зомби, существующая только за счет субсидий) 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Spaziergang”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(прогулка, получившая значение несанкционированного массового выхода).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Полученные результаты позволяют сделать вывод о том, что новые слова не ограничивались медицинской сферой. Они постепенно проникали в повседневную коммуникацию и становились частью активного словарного запаса.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Отдельное внимание в исследовании было уделено образовательному потенциалу пандемической лексики. Использование современных языковых единиц позволяет сделать процесс обучения более актуальным и личностно значимым для учащихся. В дидактическом аспекте работы было установлено, что неологизмы периода COVID-19 обладают высоким словообразовательным потенциалом, который может быть эффективно реализован для совершенствования иноязычной компетенции в старших классах (10–11 классы). На этом этапе у школьников уже сформировано абстрактно-логическое мышление и достаточный словарный запас (не менее 1200–1500 единиц согласно ФГОС).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Анализ таких единиц, как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Maskenpflicht”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(обязательное ношение масок), позволяет учащимся самостоятельно определять значение составляющих компонентов (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“Maske” + “die Pflicht”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). Аналогичная работа может проводиться со словами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“das Impfzentrum”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(центр вакцинации),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Impfbescheinigung”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(сертификат вакцинации),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“die Corona-Teststation”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(пункт тестирования).”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Работа с подобными единицами способствует развитию языковой догадки и навыков словообразовательного анализа. Кроме того, современные примеры повышают интерес учащихся к изучению языка и позволяют использовать аутентичные материалы средств массовой информации.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Практическая значимость исследования определяется возможностью применения результатов в школьной практике. Однако, учитывая объем и сложность материала, в работе обосновывается, что наиболее эффективной формой работы является не основной урок, а факультатив или элективный курс во внеурочное время.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Во-первых, основной курс имеет жесткие временные рамки, тогда как факультатив позволяет детально разобрать словообразовательные модели без ущерба для программы.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Во-вторых, внеурочная деятельность дает возможность использовать широкий спектр интерактивных методов: лингвистические турниры, проектную работу (например, создание словаря неологизмов), ролевые игры (ситуация «На приеме у врача» с использованием лексики).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В-третьих, для старшеклассников, планирующих связать профессию с лингвистикой или переводом, углубленное знание неологической лексики становится профессионально значимым навыком при подготовке к международным экзаменам (Goethe-Zertifikat B2/C1, TestDaF). Использование современной лексики способствует развитию коммуникативной компетенции обучающихся и формирует у них представление о языке как о живом, развивающемся явлении.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Проведённое исследование подтвердило, что язык является гибкой системой, способной быстро реагировать на изменения окружающей действительности. Таким образом, пандемия COVID‑19 стала не только масштабным историческим событием, но и важным фактором обновления современного немецкого языка, обогатив его большим количеством новых единиц и запустив активные словообразовательные процессы по моделям словосложения, аналогии, заимствования и языковой экономии.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Заключение.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Проведенное исследование позволило установить, что пандемия COVID‑19 оказала значительное влияние на современный немецкий язык. Процесс активного появления новых слов продемонстрировал способность языковой системы адаптироваться к изменениям социальной действительности в условиях глобального кризиса. Язык выступил не просто зеркалом происходящих событий, но и инструментом осмысления и оценки новой реальности.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Исследование подтвердило, что наиболее продуктивными механизмами образования новых слов в этот период являются словосложение (с доминированием модели «существительное + существительное»), заимствование (преимущественно англицизмы, обусловленные глобальным характером пандемии), а также языковая экономия, реализующаяся через аббревиацию, усечение и контаминацию. В работе была не только выявлена частотность этих механизмов, но и проведена их детальная функциональная классификация, разделившая неологизмы на номинативные (обеспечивающие точную номинацию новых реалий: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“der PCR-Test”, “das Covpass”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 и стилистические (выражающие эмоциональную оценку и воздействие: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“die Hamsterfront”, “die Zombiefirma”, “das Coronai”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).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Полученные результаты свидетельствуют о том, что пандемическая лексика обладает не только теоретической значимостью для лингвистики (в частности, для изучения механизмов неологизации в кризисные периоды), но и высокой практической ценностью. В работе обосновано, что включение данного лексического материала в процесс обучения немецкому языку в старших классах (особенно в рамках факультативных занятий) способствует развитию языковой догадки, словообразовательного анализа и повышению мотивации учащихся. Таким образом, цели и задачи, поставленные в выпускной квалификационной работе, были полностью выполнены, а выдвинутые положения нашли свое эмпирическое подтверждение.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708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sectPr>
      <w:footerReference r:id="rId7" w:type="default"/>
      <w:pgSz w:h="16834" w:w="11909" w:orient="portrait"/>
      <w:pgMar w:bottom="1133.8582677165355" w:top="1133.8582677165355" w:left="1700.7874015748032" w:right="850.3937007874016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77"/>
        <w:tab w:val="right" w:leader="none" w:pos="9355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uYvNekrY4oOB40/9+LtouKcKTA==">CgMxLjA4AHIhMTgzVk5KdmtOYXFXb1Y0Y0hnQzZPWWNBZkFRY3hSdi0w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